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4BE69" w14:textId="77777777" w:rsidR="00322593" w:rsidRPr="00A47414" w:rsidRDefault="00322593" w:rsidP="00B716FE">
      <w:pPr>
        <w:pStyle w:val="Heading1"/>
        <w:jc w:val="both"/>
        <w:rPr>
          <w:rFonts w:ascii="Calibri" w:hAnsi="Calibri" w:cs="Calibri"/>
        </w:rPr>
      </w:pPr>
    </w:p>
    <w:p w14:paraId="4F58CCA1" w14:textId="73023849" w:rsidR="00DC4F08" w:rsidRDefault="00050DEB" w:rsidP="00050DEB">
      <w:pPr>
        <w:autoSpaceDE w:val="0"/>
        <w:autoSpaceDN w:val="0"/>
        <w:adjustRightInd w:val="0"/>
        <w:jc w:val="both"/>
        <w:rPr>
          <w:rFonts w:ascii="Verdana" w:hAnsi="Verdana"/>
          <w:b/>
          <w:bCs/>
          <w:caps/>
          <w:color w:val="000000"/>
          <w:sz w:val="28"/>
          <w:szCs w:val="28"/>
          <w:lang w:eastAsia="en-CA"/>
        </w:rPr>
      </w:pPr>
      <w:r w:rsidRPr="00050DEB">
        <w:rPr>
          <w:rFonts w:ascii="Verdana" w:hAnsi="Verdana"/>
          <w:b/>
          <w:bCs/>
          <w:caps/>
          <w:color w:val="000000"/>
          <w:sz w:val="28"/>
          <w:szCs w:val="28"/>
          <w:lang w:eastAsia="en-CA"/>
        </w:rPr>
        <w:t>Application of DNA parentage testing and EnVigour HX™ to evaluate bull prolificacy and heifer performance in beef cattle breeding programs in Western Canada</w:t>
      </w:r>
    </w:p>
    <w:p w14:paraId="25638FF8" w14:textId="77777777" w:rsidR="00D17D4A" w:rsidRPr="00050DEB" w:rsidRDefault="00D17D4A" w:rsidP="00050DEB">
      <w:pPr>
        <w:autoSpaceDE w:val="0"/>
        <w:autoSpaceDN w:val="0"/>
        <w:adjustRightInd w:val="0"/>
        <w:jc w:val="both"/>
        <w:rPr>
          <w:rFonts w:ascii="Verdana" w:eastAsia="Calibri" w:hAnsi="Verdana"/>
          <w:b/>
          <w:sz w:val="28"/>
          <w:szCs w:val="28"/>
          <w:lang w:val="en-US"/>
        </w:rPr>
      </w:pPr>
    </w:p>
    <w:p w14:paraId="4A9761F9" w14:textId="16EBA557" w:rsidR="00050DEB" w:rsidRDefault="00050DEB" w:rsidP="006C57DD">
      <w:pPr>
        <w:pStyle w:val="Heading1"/>
        <w:spacing w:after="120"/>
        <w:jc w:val="both"/>
        <w:rPr>
          <w:rFonts w:ascii="Verdana" w:hAnsi="Verdana" w:cs="Arial"/>
          <w:sz w:val="21"/>
          <w:szCs w:val="21"/>
        </w:rPr>
      </w:pPr>
      <w:r w:rsidRPr="00050DEB">
        <w:rPr>
          <w:rFonts w:ascii="Verdana" w:eastAsia="Calibri" w:hAnsi="Verdana"/>
          <w:bCs w:val="0"/>
          <w:lang w:val="en-US"/>
        </w:rPr>
        <w:t xml:space="preserve">By: Tess Mills, MSc, Dr. Razie Khorshidi, Dr. </w:t>
      </w:r>
      <w:proofErr w:type="spellStart"/>
      <w:r w:rsidRPr="00050DEB">
        <w:rPr>
          <w:rFonts w:ascii="Verdana" w:eastAsia="Calibri" w:hAnsi="Verdana"/>
          <w:bCs w:val="0"/>
          <w:lang w:val="en-US"/>
        </w:rPr>
        <w:t>Daalkhaijav</w:t>
      </w:r>
      <w:proofErr w:type="spellEnd"/>
      <w:r w:rsidRPr="00050DEB">
        <w:rPr>
          <w:rFonts w:ascii="Verdana" w:eastAsia="Calibri" w:hAnsi="Verdana"/>
          <w:bCs w:val="0"/>
          <w:lang w:val="en-US"/>
        </w:rPr>
        <w:t xml:space="preserve"> Damiran, Dr. Mika Asai-</w:t>
      </w:r>
      <w:proofErr w:type="spellStart"/>
      <w:r w:rsidRPr="00050DEB">
        <w:rPr>
          <w:rFonts w:ascii="Verdana" w:eastAsia="Calibri" w:hAnsi="Verdana"/>
          <w:bCs w:val="0"/>
          <w:lang w:val="en-US"/>
        </w:rPr>
        <w:t>Coakwell</w:t>
      </w:r>
      <w:proofErr w:type="spellEnd"/>
      <w:r w:rsidRPr="00050DEB">
        <w:rPr>
          <w:rFonts w:ascii="Verdana" w:eastAsia="Calibri" w:hAnsi="Verdana"/>
          <w:bCs w:val="0"/>
          <w:lang w:val="en-US"/>
        </w:rPr>
        <w:t>, Dr. Diego Moya, Kathy Larson, MSc, and Dr. Bart Lardner</w:t>
      </w:r>
    </w:p>
    <w:p w14:paraId="0CE243E1" w14:textId="321429E1" w:rsidR="00B716FE" w:rsidRPr="00A47414" w:rsidRDefault="00C1245E" w:rsidP="006C57DD">
      <w:pPr>
        <w:pStyle w:val="Heading1"/>
        <w:spacing w:after="120"/>
        <w:jc w:val="both"/>
      </w:pPr>
      <w:r w:rsidRPr="00A47414">
        <w:rPr>
          <w:rFonts w:ascii="Verdana" w:hAnsi="Verdana" w:cs="Arial"/>
          <w:sz w:val="21"/>
          <w:szCs w:val="21"/>
        </w:rPr>
        <w:t>Introduction</w:t>
      </w:r>
    </w:p>
    <w:p w14:paraId="54039795" w14:textId="74A3229C" w:rsidR="00D17D4A" w:rsidRDefault="00032B97" w:rsidP="004C1026">
      <w:pPr>
        <w:pStyle w:val="Heading1"/>
        <w:rPr>
          <w:rFonts w:ascii="Verdana" w:eastAsia="Calibri" w:hAnsi="Verdana"/>
          <w:b w:val="0"/>
          <w:bCs w:val="0"/>
          <w:color w:val="000000"/>
          <w:sz w:val="21"/>
          <w:szCs w:val="21"/>
        </w:rPr>
      </w:pPr>
      <w:r w:rsidRPr="00032B97">
        <w:rPr>
          <w:rFonts w:ascii="Verdana" w:eastAsia="Calibri" w:hAnsi="Verdana"/>
          <w:b w:val="0"/>
          <w:bCs w:val="0"/>
          <w:color w:val="000000"/>
          <w:sz w:val="21"/>
          <w:szCs w:val="21"/>
          <w:lang w:val="en-US"/>
        </w:rPr>
        <w:t xml:space="preserve">Multi-sire breeding pastures are widely used in Western Canadian cow–calf systems because they simplify breeding management. However, when multiple bulls are run together, producers typically do not know which bull sired which calf. This limits the ability to evaluate individual bull fertility, breeding dominance, and long-term genetic contribution to the herd. DNA parentage testing now provides accurate sire identification, while </w:t>
      </w:r>
      <w:proofErr w:type="spellStart"/>
      <w:r w:rsidRPr="00032B97">
        <w:rPr>
          <w:rFonts w:ascii="Verdana" w:eastAsia="Calibri" w:hAnsi="Verdana"/>
          <w:b w:val="0"/>
          <w:bCs w:val="0"/>
          <w:color w:val="000000"/>
          <w:sz w:val="21"/>
          <w:szCs w:val="21"/>
          <w:lang w:val="en-US"/>
        </w:rPr>
        <w:t>EnVigour</w:t>
      </w:r>
      <w:proofErr w:type="spellEnd"/>
      <w:r w:rsidRPr="00032B97">
        <w:rPr>
          <w:rFonts w:ascii="Verdana" w:eastAsia="Calibri" w:hAnsi="Verdana"/>
          <w:b w:val="0"/>
          <w:bCs w:val="0"/>
          <w:color w:val="000000"/>
          <w:sz w:val="21"/>
          <w:szCs w:val="21"/>
          <w:lang w:val="en-US"/>
        </w:rPr>
        <w:t xml:space="preserve"> HX™ genomic testing quantifies individual hybrid vigor. This study evaluated how combining these technologies can improve bull selection, optimize replacement heifer development, and accelerate genetic progress in commercial beef herds.</w:t>
      </w:r>
      <w:r w:rsidR="004C1026">
        <w:rPr>
          <w:rFonts w:ascii="Verdana" w:eastAsia="Calibri" w:hAnsi="Verdana"/>
          <w:b w:val="0"/>
          <w:bCs w:val="0"/>
          <w:color w:val="000000"/>
          <w:sz w:val="21"/>
          <w:szCs w:val="21"/>
          <w:lang w:val="en-US"/>
        </w:rPr>
        <w:t xml:space="preserve"> </w:t>
      </w:r>
      <w:r w:rsidR="00DD0407" w:rsidRPr="00DD0407">
        <w:rPr>
          <w:rFonts w:ascii="Verdana" w:eastAsia="Calibri" w:hAnsi="Verdana"/>
          <w:b w:val="0"/>
          <w:bCs w:val="0"/>
          <w:color w:val="000000"/>
          <w:sz w:val="21"/>
          <w:szCs w:val="21"/>
        </w:rPr>
        <w:t xml:space="preserve">This study aims to: </w:t>
      </w:r>
    </w:p>
    <w:p w14:paraId="6A3F798F" w14:textId="345AFF56" w:rsidR="00032B97" w:rsidRPr="00032B97" w:rsidRDefault="00032B97" w:rsidP="009819E5">
      <w:pPr>
        <w:pStyle w:val="Heading1"/>
        <w:rPr>
          <w:rFonts w:ascii="Verdana" w:eastAsia="Calibri" w:hAnsi="Verdana"/>
          <w:b w:val="0"/>
          <w:bCs w:val="0"/>
          <w:color w:val="000000"/>
          <w:sz w:val="21"/>
          <w:szCs w:val="21"/>
        </w:rPr>
      </w:pPr>
      <w:r w:rsidRPr="00032B97">
        <w:rPr>
          <w:rFonts w:ascii="Verdana" w:eastAsia="Calibri" w:hAnsi="Verdana"/>
          <w:b w:val="0"/>
          <w:bCs w:val="0"/>
          <w:color w:val="000000"/>
          <w:sz w:val="21"/>
          <w:szCs w:val="21"/>
        </w:rPr>
        <w:t>(</w:t>
      </w:r>
      <w:proofErr w:type="spellStart"/>
      <w:r w:rsidRPr="00032B97">
        <w:rPr>
          <w:rFonts w:ascii="Verdana" w:eastAsia="Calibri" w:hAnsi="Verdana"/>
          <w:b w:val="0"/>
          <w:bCs w:val="0"/>
          <w:color w:val="000000"/>
          <w:sz w:val="21"/>
          <w:szCs w:val="21"/>
        </w:rPr>
        <w:t>i</w:t>
      </w:r>
      <w:proofErr w:type="spellEnd"/>
      <w:r w:rsidRPr="00032B97">
        <w:rPr>
          <w:rFonts w:ascii="Verdana" w:eastAsia="Calibri" w:hAnsi="Verdana"/>
          <w:b w:val="0"/>
          <w:bCs w:val="0"/>
          <w:color w:val="000000"/>
          <w:sz w:val="21"/>
          <w:szCs w:val="21"/>
        </w:rPr>
        <w:t>) Determine individual bull prolificacy in multi-sire breeding pastures using DNA parentage testing.</w:t>
      </w:r>
      <w:r w:rsidR="009819E5">
        <w:rPr>
          <w:rFonts w:ascii="Verdana" w:eastAsia="Calibri" w:hAnsi="Verdana"/>
          <w:b w:val="0"/>
          <w:bCs w:val="0"/>
          <w:color w:val="000000"/>
          <w:sz w:val="21"/>
          <w:szCs w:val="21"/>
        </w:rPr>
        <w:t xml:space="preserve"> </w:t>
      </w:r>
      <w:r w:rsidRPr="00032B97">
        <w:rPr>
          <w:rFonts w:ascii="Verdana" w:eastAsia="Calibri" w:hAnsi="Verdana"/>
          <w:b w:val="0"/>
          <w:bCs w:val="0"/>
          <w:color w:val="000000"/>
          <w:sz w:val="21"/>
          <w:szCs w:val="21"/>
        </w:rPr>
        <w:t>(ii) Develop a Bull Prolificacy Index (BPI) to compare sire contributions.</w:t>
      </w:r>
      <w:r w:rsidR="009819E5">
        <w:rPr>
          <w:rFonts w:ascii="Verdana" w:eastAsia="Calibri" w:hAnsi="Verdana"/>
          <w:b w:val="0"/>
          <w:bCs w:val="0"/>
          <w:color w:val="000000"/>
          <w:sz w:val="21"/>
          <w:szCs w:val="21"/>
        </w:rPr>
        <w:t xml:space="preserve"> </w:t>
      </w:r>
      <w:r w:rsidRPr="00032B97">
        <w:rPr>
          <w:rFonts w:ascii="Verdana" w:eastAsia="Calibri" w:hAnsi="Verdana"/>
          <w:b w:val="0"/>
          <w:bCs w:val="0"/>
          <w:color w:val="000000"/>
          <w:sz w:val="21"/>
          <w:szCs w:val="21"/>
        </w:rPr>
        <w:t>(iii) Assess repeatability of bull prolificacy across years and age classes.</w:t>
      </w:r>
      <w:r w:rsidR="009819E5">
        <w:rPr>
          <w:rFonts w:ascii="Verdana" w:eastAsia="Calibri" w:hAnsi="Verdana"/>
          <w:b w:val="0"/>
          <w:bCs w:val="0"/>
          <w:color w:val="000000"/>
          <w:sz w:val="21"/>
          <w:szCs w:val="21"/>
        </w:rPr>
        <w:t xml:space="preserve"> </w:t>
      </w:r>
      <w:r w:rsidRPr="00032B97">
        <w:rPr>
          <w:rFonts w:ascii="Verdana" w:eastAsia="Calibri" w:hAnsi="Verdana"/>
          <w:b w:val="0"/>
          <w:bCs w:val="0"/>
          <w:color w:val="000000"/>
          <w:sz w:val="21"/>
          <w:szCs w:val="21"/>
        </w:rPr>
        <w:t xml:space="preserve">(iv) Quantify genomic hybrid vigor using </w:t>
      </w:r>
      <w:proofErr w:type="spellStart"/>
      <w:r w:rsidRPr="00032B97">
        <w:rPr>
          <w:rFonts w:ascii="Verdana" w:eastAsia="Calibri" w:hAnsi="Verdana"/>
          <w:b w:val="0"/>
          <w:bCs w:val="0"/>
          <w:color w:val="000000"/>
          <w:sz w:val="21"/>
          <w:szCs w:val="21"/>
        </w:rPr>
        <w:t>EnVigour</w:t>
      </w:r>
      <w:proofErr w:type="spellEnd"/>
      <w:r w:rsidRPr="00032B97">
        <w:rPr>
          <w:rFonts w:ascii="Verdana" w:eastAsia="Calibri" w:hAnsi="Verdana"/>
          <w:b w:val="0"/>
          <w:bCs w:val="0"/>
          <w:color w:val="000000"/>
          <w:sz w:val="21"/>
          <w:szCs w:val="21"/>
        </w:rPr>
        <w:t xml:space="preserve"> HX™ testing.</w:t>
      </w:r>
    </w:p>
    <w:p w14:paraId="04B80C3E" w14:textId="3D3ED55C" w:rsidR="00C1245E" w:rsidRPr="00A47414" w:rsidRDefault="00032B97" w:rsidP="00032B97">
      <w:pPr>
        <w:pStyle w:val="Heading1"/>
        <w:rPr>
          <w:rFonts w:ascii="Verdana" w:hAnsi="Verdana" w:cs="Arial"/>
          <w:sz w:val="21"/>
          <w:szCs w:val="21"/>
        </w:rPr>
      </w:pPr>
      <w:r w:rsidRPr="00032B97">
        <w:rPr>
          <w:rFonts w:ascii="Verdana" w:eastAsia="Calibri" w:hAnsi="Verdana"/>
          <w:b w:val="0"/>
          <w:bCs w:val="0"/>
          <w:color w:val="000000"/>
          <w:sz w:val="21"/>
          <w:szCs w:val="21"/>
        </w:rPr>
        <w:t xml:space="preserve">(v) Evaluate relationships between genomic vigor </w:t>
      </w:r>
      <w:r w:rsidR="00236F70">
        <w:rPr>
          <w:rFonts w:ascii="Verdana" w:eastAsia="Calibri" w:hAnsi="Verdana"/>
          <w:b w:val="0"/>
          <w:bCs w:val="0"/>
          <w:color w:val="000000"/>
          <w:sz w:val="21"/>
          <w:szCs w:val="21"/>
        </w:rPr>
        <w:t xml:space="preserve">score </w:t>
      </w:r>
      <w:r w:rsidRPr="00032B97">
        <w:rPr>
          <w:rFonts w:ascii="Verdana" w:eastAsia="Calibri" w:hAnsi="Verdana"/>
          <w:b w:val="0"/>
          <w:bCs w:val="0"/>
          <w:color w:val="000000"/>
          <w:sz w:val="21"/>
          <w:szCs w:val="21"/>
        </w:rPr>
        <w:t xml:space="preserve">and </w:t>
      </w:r>
      <w:r w:rsidR="00236F70">
        <w:rPr>
          <w:rFonts w:ascii="Verdana" w:eastAsia="Calibri" w:hAnsi="Verdana"/>
          <w:b w:val="0"/>
          <w:bCs w:val="0"/>
          <w:color w:val="000000"/>
          <w:sz w:val="21"/>
          <w:szCs w:val="21"/>
        </w:rPr>
        <w:t>age at first calving</w:t>
      </w:r>
      <w:r w:rsidRPr="00032B97">
        <w:rPr>
          <w:rFonts w:ascii="Verdana" w:eastAsia="Calibri" w:hAnsi="Verdana"/>
          <w:b w:val="0"/>
          <w:bCs w:val="0"/>
          <w:color w:val="000000"/>
          <w:sz w:val="21"/>
          <w:szCs w:val="21"/>
        </w:rPr>
        <w:t xml:space="preserve">, </w:t>
      </w:r>
      <w:r w:rsidR="00236F70">
        <w:rPr>
          <w:rFonts w:ascii="Verdana" w:eastAsia="Calibri" w:hAnsi="Verdana"/>
          <w:b w:val="0"/>
          <w:bCs w:val="0"/>
          <w:color w:val="000000"/>
          <w:sz w:val="21"/>
          <w:szCs w:val="21"/>
        </w:rPr>
        <w:t>conception rate</w:t>
      </w:r>
      <w:r w:rsidRPr="00032B97">
        <w:rPr>
          <w:rFonts w:ascii="Verdana" w:eastAsia="Calibri" w:hAnsi="Verdana"/>
          <w:b w:val="0"/>
          <w:bCs w:val="0"/>
          <w:color w:val="000000"/>
          <w:sz w:val="21"/>
          <w:szCs w:val="21"/>
        </w:rPr>
        <w:t xml:space="preserve">, </w:t>
      </w:r>
      <w:r w:rsidR="00236F70">
        <w:rPr>
          <w:rFonts w:ascii="Verdana" w:eastAsia="Calibri" w:hAnsi="Verdana"/>
          <w:b w:val="0"/>
          <w:bCs w:val="0"/>
          <w:color w:val="000000"/>
          <w:sz w:val="21"/>
          <w:szCs w:val="21"/>
        </w:rPr>
        <w:t xml:space="preserve">average wean weight per calf </w:t>
      </w:r>
      <w:r w:rsidRPr="00032B97">
        <w:rPr>
          <w:rFonts w:ascii="Verdana" w:eastAsia="Calibri" w:hAnsi="Verdana"/>
          <w:b w:val="0"/>
          <w:bCs w:val="0"/>
          <w:color w:val="000000"/>
          <w:sz w:val="21"/>
          <w:szCs w:val="21"/>
        </w:rPr>
        <w:t>and lifetime productivity of replacement females.</w:t>
      </w:r>
    </w:p>
    <w:p w14:paraId="23BA5F3F" w14:textId="77777777" w:rsidR="003F58D8" w:rsidRDefault="003F58D8" w:rsidP="005F7E4D">
      <w:pPr>
        <w:tabs>
          <w:tab w:val="left" w:pos="720"/>
        </w:tabs>
        <w:rPr>
          <w:rFonts w:ascii="Verdana" w:eastAsia="Calibri" w:hAnsi="Verdana"/>
          <w:b/>
          <w:color w:val="000000"/>
          <w:sz w:val="21"/>
          <w:szCs w:val="21"/>
          <w:lang w:val="en-US"/>
        </w:rPr>
      </w:pPr>
    </w:p>
    <w:p w14:paraId="3FE4BA9F" w14:textId="751F0A97" w:rsidR="00CB0A35" w:rsidRDefault="0038329C" w:rsidP="005F7E4D">
      <w:pPr>
        <w:tabs>
          <w:tab w:val="left" w:pos="720"/>
        </w:tabs>
        <w:spacing w:after="120"/>
        <w:rPr>
          <w:rFonts w:ascii="Verdana" w:hAnsi="Verdana"/>
          <w:b/>
          <w:bCs/>
          <w:iCs/>
          <w:sz w:val="21"/>
          <w:szCs w:val="21"/>
        </w:rPr>
      </w:pPr>
      <w:r w:rsidRPr="0038329C">
        <w:rPr>
          <w:rFonts w:ascii="Verdana" w:eastAsia="Calibri" w:hAnsi="Verdana"/>
          <w:b/>
          <w:color w:val="000000"/>
          <w:sz w:val="21"/>
          <w:szCs w:val="21"/>
          <w:lang w:val="en-US"/>
        </w:rPr>
        <w:t>Data Source and Analysis</w:t>
      </w:r>
    </w:p>
    <w:p w14:paraId="42EF9275" w14:textId="29FCF3FE" w:rsidR="00295AB3" w:rsidRDefault="005B4EC1" w:rsidP="0038329C">
      <w:pPr>
        <w:rPr>
          <w:rFonts w:ascii="Verdana" w:hAnsi="Verdana"/>
          <w:bCs/>
          <w:iCs/>
          <w:color w:val="000000"/>
          <w:sz w:val="21"/>
          <w:szCs w:val="21"/>
          <w:lang w:val="en-US"/>
        </w:rPr>
      </w:pPr>
      <w:r w:rsidRPr="005B4EC1">
        <w:rPr>
          <w:rFonts w:ascii="Verdana" w:hAnsi="Verdana"/>
          <w:bCs/>
          <w:iCs/>
          <w:color w:val="000000"/>
          <w:sz w:val="21"/>
          <w:szCs w:val="21"/>
          <w:lang w:val="en-US"/>
        </w:rPr>
        <w:t>The study was conducted on a commercial cow–calf ranch in southwest Saskatchewan over six breeding seasons (2014–2019). A total of 46 bulls were used annually in four multi-sire breeding groups consisting of mature cows, three-year-old cows, and replacement heifers. Bull-to-cow ratios ranged from 1:19 to 1:27. Bulls included purebred Angus sires and crossbred Beef Booster composite sires. Calving occurred in a defined season, allowing assessment of first-cycle calving performance.</w:t>
      </w:r>
      <w:r w:rsidR="0038329C">
        <w:rPr>
          <w:rFonts w:ascii="Verdana" w:hAnsi="Verdana"/>
          <w:bCs/>
          <w:iCs/>
          <w:color w:val="000000"/>
          <w:sz w:val="21"/>
          <w:szCs w:val="21"/>
          <w:lang w:val="en-US"/>
        </w:rPr>
        <w:t xml:space="preserve"> </w:t>
      </w:r>
      <w:r w:rsidR="0038329C" w:rsidRPr="0038329C">
        <w:rPr>
          <w:rFonts w:ascii="Verdana" w:hAnsi="Verdana"/>
          <w:bCs/>
          <w:iCs/>
          <w:color w:val="000000"/>
          <w:sz w:val="21"/>
          <w:szCs w:val="21"/>
          <w:lang w:val="en-US"/>
        </w:rPr>
        <w:t>DNA parentage testing was conducted to assign calves to their respective sires, allowing calculation of a Bull Prolificacy Index (BPI). The BPI was defined as the ratio of the number of calves sired by an individual bull relative to the average number of calves sired by all bulls within the same breeding group and year. Bulls with BPI values greater than 1 were considered highly prolific.</w:t>
      </w:r>
      <w:r w:rsidR="0038329C">
        <w:rPr>
          <w:rFonts w:ascii="Verdana" w:hAnsi="Verdana"/>
          <w:bCs/>
          <w:iCs/>
          <w:color w:val="000000"/>
          <w:sz w:val="21"/>
          <w:szCs w:val="21"/>
          <w:lang w:val="en-US"/>
        </w:rPr>
        <w:t xml:space="preserve"> </w:t>
      </w:r>
      <w:r w:rsidR="0038329C" w:rsidRPr="0038329C">
        <w:rPr>
          <w:rFonts w:ascii="Verdana" w:hAnsi="Verdana"/>
          <w:bCs/>
          <w:iCs/>
          <w:color w:val="000000"/>
          <w:sz w:val="21"/>
          <w:szCs w:val="21"/>
          <w:lang w:val="en-US"/>
        </w:rPr>
        <w:t xml:space="preserve">Genomic breed composition and hybrid vigor scores were </w:t>
      </w:r>
      <w:r w:rsidR="0038329C" w:rsidRPr="0038329C">
        <w:rPr>
          <w:rFonts w:ascii="Verdana" w:hAnsi="Verdana"/>
          <w:bCs/>
          <w:iCs/>
          <w:color w:val="000000"/>
          <w:sz w:val="21"/>
          <w:szCs w:val="21"/>
          <w:lang w:val="en-US"/>
        </w:rPr>
        <w:lastRenderedPageBreak/>
        <w:t xml:space="preserve">determined using the </w:t>
      </w:r>
      <w:proofErr w:type="spellStart"/>
      <w:r w:rsidR="0038329C" w:rsidRPr="0038329C">
        <w:rPr>
          <w:rFonts w:ascii="Verdana" w:hAnsi="Verdana"/>
          <w:bCs/>
          <w:iCs/>
          <w:color w:val="000000"/>
          <w:sz w:val="21"/>
          <w:szCs w:val="21"/>
          <w:lang w:val="en-US"/>
        </w:rPr>
        <w:t>EnVigour</w:t>
      </w:r>
      <w:proofErr w:type="spellEnd"/>
      <w:r w:rsidR="0038329C" w:rsidRPr="0038329C">
        <w:rPr>
          <w:rFonts w:ascii="Verdana" w:hAnsi="Verdana"/>
          <w:bCs/>
          <w:iCs/>
          <w:color w:val="000000"/>
          <w:sz w:val="21"/>
          <w:szCs w:val="21"/>
          <w:lang w:val="en-US"/>
        </w:rPr>
        <w:t xml:space="preserve"> HX™ test. Replacement heifers were followed across multiple parities to evaluate </w:t>
      </w:r>
      <w:r w:rsidR="0038329C">
        <w:rPr>
          <w:rFonts w:ascii="Verdana" w:hAnsi="Verdana"/>
          <w:bCs/>
          <w:iCs/>
          <w:color w:val="000000"/>
          <w:sz w:val="21"/>
          <w:szCs w:val="21"/>
          <w:lang w:val="en-US"/>
        </w:rPr>
        <w:t xml:space="preserve">the effect of hybrid vigor on </w:t>
      </w:r>
      <w:r w:rsidR="00484957" w:rsidRPr="00484957">
        <w:rPr>
          <w:rFonts w:ascii="Verdana" w:hAnsi="Verdana"/>
          <w:bCs/>
          <w:iCs/>
          <w:color w:val="000000"/>
          <w:sz w:val="21"/>
          <w:szCs w:val="21"/>
          <w:lang w:val="en-US"/>
        </w:rPr>
        <w:t>age at first calving, conception rate, average wean weight per calf and lifetime productivity</w:t>
      </w:r>
      <w:r w:rsidR="0038329C" w:rsidRPr="0038329C">
        <w:rPr>
          <w:rFonts w:ascii="Verdana" w:hAnsi="Verdana"/>
          <w:bCs/>
          <w:iCs/>
          <w:color w:val="000000"/>
          <w:sz w:val="21"/>
          <w:szCs w:val="21"/>
          <w:lang w:val="en-US"/>
        </w:rPr>
        <w:t>, including cumulative kilograms of calf weaned.</w:t>
      </w:r>
    </w:p>
    <w:p w14:paraId="704E91EC" w14:textId="77777777" w:rsidR="000902C3" w:rsidRPr="008131B6" w:rsidRDefault="000902C3" w:rsidP="005F7E4D">
      <w:pPr>
        <w:rPr>
          <w:rFonts w:ascii="Verdana" w:hAnsi="Verdana"/>
          <w:color w:val="000000"/>
          <w:sz w:val="21"/>
          <w:szCs w:val="21"/>
          <w:lang w:val="en-US"/>
        </w:rPr>
      </w:pPr>
    </w:p>
    <w:p w14:paraId="11410E3D" w14:textId="77777777" w:rsidR="00500900" w:rsidRDefault="00500900" w:rsidP="006E11A4">
      <w:pPr>
        <w:spacing w:after="120"/>
        <w:rPr>
          <w:rFonts w:ascii="Verdana" w:hAnsi="Verdana"/>
          <w:b/>
          <w:sz w:val="21"/>
          <w:szCs w:val="21"/>
        </w:rPr>
      </w:pPr>
      <w:r w:rsidRPr="00A47414">
        <w:rPr>
          <w:rFonts w:ascii="Verdana" w:hAnsi="Verdana"/>
          <w:b/>
          <w:sz w:val="21"/>
          <w:szCs w:val="21"/>
        </w:rPr>
        <w:t>Results and Discussion</w:t>
      </w:r>
    </w:p>
    <w:p w14:paraId="07CBE53F" w14:textId="7D8B1F27" w:rsidR="007557ED" w:rsidRDefault="00964582" w:rsidP="00DB6552">
      <w:pPr>
        <w:spacing w:after="120"/>
        <w:rPr>
          <w:rFonts w:ascii="Verdana" w:hAnsi="Verdana"/>
          <w:b/>
          <w:sz w:val="21"/>
          <w:szCs w:val="21"/>
        </w:rPr>
      </w:pPr>
      <w:r w:rsidRPr="00964582">
        <w:rPr>
          <w:rFonts w:ascii="Verdana" w:hAnsi="Verdana"/>
          <w:b/>
          <w:sz w:val="21"/>
          <w:szCs w:val="21"/>
        </w:rPr>
        <w:t>Bull Prolificacy and Calving Distribution</w:t>
      </w:r>
    </w:p>
    <w:p w14:paraId="77E32E17" w14:textId="149CC989" w:rsidR="00AD2F20" w:rsidRDefault="00DB6552" w:rsidP="00C759E5">
      <w:pPr>
        <w:rPr>
          <w:rFonts w:ascii="Verdana" w:hAnsi="Verdana"/>
          <w:sz w:val="21"/>
          <w:szCs w:val="21"/>
          <w:lang w:val="en-US"/>
        </w:rPr>
      </w:pPr>
      <w:r w:rsidRPr="00DB6552">
        <w:rPr>
          <w:rFonts w:ascii="Verdana" w:hAnsi="Verdana"/>
          <w:sz w:val="21"/>
          <w:szCs w:val="21"/>
          <w:lang w:val="en-US"/>
        </w:rPr>
        <w:t>Substantial variation in bull prolificacy was observed within and across breeding seasons. Bull Prolificacy Index values ranged from very low to more than three times the group average, indicating that a small number of sires contributed disproportionately to calf crop size. Yearling bulls generally exhibited lower BPI values compared with two-year-old and mature bulls.</w:t>
      </w:r>
      <w:r w:rsidR="00A91344" w:rsidRPr="00A91344">
        <w:t xml:space="preserve"> </w:t>
      </w:r>
      <w:r w:rsidR="00A91344" w:rsidRPr="00A91344">
        <w:rPr>
          <w:rFonts w:ascii="Verdana" w:hAnsi="Verdana"/>
          <w:sz w:val="21"/>
          <w:szCs w:val="21"/>
          <w:lang w:val="en-US"/>
        </w:rPr>
        <w:t>However, high-performing yearling bulls tended to remain high-performing sires in later years, indicating moderate repeatability of bull prolificacy.</w:t>
      </w:r>
      <w:r w:rsidR="00C759E5" w:rsidRPr="00C759E5">
        <w:t xml:space="preserve"> </w:t>
      </w:r>
      <w:r w:rsidR="00C759E5" w:rsidRPr="00C759E5">
        <w:rPr>
          <w:rFonts w:ascii="Verdana" w:hAnsi="Verdana"/>
          <w:sz w:val="21"/>
          <w:szCs w:val="21"/>
          <w:lang w:val="en-US"/>
        </w:rPr>
        <w:t>Therefore, early DNA parentage testing of yearling sires provides an opportunity to identify superior breeding bulls before producers invest in additional seasons of use or semen collection.</w:t>
      </w:r>
      <w:r w:rsidR="00C759E5">
        <w:rPr>
          <w:rFonts w:ascii="Verdana" w:hAnsi="Verdana"/>
          <w:sz w:val="21"/>
          <w:szCs w:val="21"/>
          <w:lang w:val="en-US"/>
        </w:rPr>
        <w:t xml:space="preserve"> </w:t>
      </w:r>
      <w:r w:rsidR="00C759E5" w:rsidRPr="00C759E5">
        <w:rPr>
          <w:rFonts w:ascii="Verdana" w:hAnsi="Verdana"/>
          <w:sz w:val="21"/>
          <w:szCs w:val="21"/>
          <w:lang w:val="en-US"/>
        </w:rPr>
        <w:t>By contrast, low-performing yearling bulls rarely improved substantially with age. Removing these bulls early can reduce breeding risk and improve herd reproductive efficiency.</w:t>
      </w:r>
    </w:p>
    <w:p w14:paraId="3E84767F" w14:textId="1E62FE48" w:rsidR="00964582" w:rsidRDefault="00DB6552" w:rsidP="006E11A4">
      <w:pPr>
        <w:spacing w:after="120"/>
        <w:rPr>
          <w:rFonts w:ascii="Verdana" w:hAnsi="Verdana"/>
          <w:sz w:val="21"/>
          <w:szCs w:val="21"/>
          <w:lang w:val="en-US"/>
        </w:rPr>
      </w:pPr>
      <w:r w:rsidRPr="00DB6552">
        <w:rPr>
          <w:rFonts w:ascii="Verdana" w:hAnsi="Verdana"/>
          <w:sz w:val="21"/>
          <w:szCs w:val="21"/>
          <w:lang w:val="en-US"/>
        </w:rPr>
        <w:t>Regardless of BPI group</w:t>
      </w:r>
      <w:r w:rsidR="00A91344">
        <w:rPr>
          <w:rFonts w:ascii="Verdana" w:hAnsi="Verdana"/>
          <w:sz w:val="21"/>
          <w:szCs w:val="21"/>
          <w:lang w:val="en-US"/>
        </w:rPr>
        <w:t xml:space="preserve"> as low-, average- or high-BPI</w:t>
      </w:r>
      <w:r w:rsidRPr="00DB6552">
        <w:rPr>
          <w:rFonts w:ascii="Verdana" w:hAnsi="Verdana"/>
          <w:sz w:val="21"/>
          <w:szCs w:val="21"/>
          <w:lang w:val="en-US"/>
        </w:rPr>
        <w:t>, most calves were born early in the calving season; however, high-BPI sires produced a significantly greater proportion of calves during the first 21 days of calving. This early calving advantage is economically important, as calves born earlier tend to have greater weaning weights and replacement heifers born early are more likely to remain productive in the herd.</w:t>
      </w:r>
      <w:r w:rsidR="00DF2819" w:rsidRPr="00DF2819">
        <w:t xml:space="preserve"> </w:t>
      </w:r>
      <w:r w:rsidR="00DF2819" w:rsidRPr="00DF2819">
        <w:rPr>
          <w:rFonts w:ascii="Verdana" w:hAnsi="Verdana"/>
          <w:sz w:val="21"/>
          <w:szCs w:val="21"/>
          <w:lang w:val="en-US"/>
        </w:rPr>
        <w:t>Therefore, selecting bulls that sire more first-cycle calves directly improves both calf performance and subsequent cow fertility.</w:t>
      </w:r>
    </w:p>
    <w:p w14:paraId="37F999F7" w14:textId="7E76664D" w:rsidR="00DB6552" w:rsidRPr="006E11A4" w:rsidRDefault="006E11A4" w:rsidP="005C49C7">
      <w:pPr>
        <w:spacing w:after="120"/>
        <w:rPr>
          <w:rFonts w:ascii="Verdana" w:hAnsi="Verdana"/>
          <w:b/>
          <w:sz w:val="21"/>
          <w:szCs w:val="21"/>
        </w:rPr>
      </w:pPr>
      <w:r w:rsidRPr="006E11A4">
        <w:rPr>
          <w:rFonts w:ascii="Verdana" w:hAnsi="Verdana"/>
          <w:b/>
          <w:sz w:val="21"/>
          <w:szCs w:val="21"/>
        </w:rPr>
        <w:t>Performance of Replacement Heifers and Grand-Calves</w:t>
      </w:r>
    </w:p>
    <w:p w14:paraId="420AA793" w14:textId="048F466F" w:rsidR="00DB6552" w:rsidRDefault="005C49C7" w:rsidP="00200B10">
      <w:pPr>
        <w:spacing w:after="120"/>
        <w:rPr>
          <w:rFonts w:ascii="Verdana" w:hAnsi="Verdana"/>
          <w:sz w:val="21"/>
          <w:szCs w:val="21"/>
          <w:lang w:val="en-US"/>
        </w:rPr>
      </w:pPr>
      <w:r w:rsidRPr="005C49C7">
        <w:rPr>
          <w:rFonts w:ascii="Verdana" w:hAnsi="Verdana"/>
          <w:sz w:val="21"/>
          <w:szCs w:val="21"/>
          <w:lang w:val="en-US"/>
        </w:rPr>
        <w:t xml:space="preserve">As bull prolificacy increased, the number of daughters sired, retained, and subsequently produced calves also increased. Daughters of high-BPI sires generated more grand-calves over their productive lifetimes compared with daughters of low-BPI sires. While average weaning weight per calf did not differ substantially among </w:t>
      </w:r>
      <w:r w:rsidR="00831D57">
        <w:rPr>
          <w:rFonts w:ascii="Verdana" w:hAnsi="Verdana"/>
          <w:sz w:val="21"/>
          <w:szCs w:val="21"/>
          <w:lang w:val="en-US"/>
        </w:rPr>
        <w:t xml:space="preserve">low, average and high </w:t>
      </w:r>
      <w:r w:rsidRPr="005C49C7">
        <w:rPr>
          <w:rFonts w:ascii="Verdana" w:hAnsi="Verdana"/>
          <w:sz w:val="21"/>
          <w:szCs w:val="21"/>
          <w:lang w:val="en-US"/>
        </w:rPr>
        <w:t xml:space="preserve">BPI </w:t>
      </w:r>
      <w:r w:rsidR="00831D57">
        <w:rPr>
          <w:rFonts w:ascii="Verdana" w:hAnsi="Verdana"/>
          <w:sz w:val="21"/>
          <w:szCs w:val="21"/>
          <w:lang w:val="en-US"/>
        </w:rPr>
        <w:t xml:space="preserve">sire </w:t>
      </w:r>
      <w:r w:rsidRPr="005C49C7">
        <w:rPr>
          <w:rFonts w:ascii="Verdana" w:hAnsi="Verdana"/>
          <w:sz w:val="21"/>
          <w:szCs w:val="21"/>
          <w:lang w:val="en-US"/>
        </w:rPr>
        <w:t>groups, total kilograms of calf weaned per sire increased markedly with increasing BPI.</w:t>
      </w:r>
      <w:r w:rsidR="007D4F83">
        <w:rPr>
          <w:rFonts w:ascii="Verdana" w:hAnsi="Verdana"/>
          <w:sz w:val="21"/>
          <w:szCs w:val="21"/>
          <w:lang w:val="en-US"/>
        </w:rPr>
        <w:t xml:space="preserve"> </w:t>
      </w:r>
      <w:r w:rsidRPr="005C49C7">
        <w:rPr>
          <w:rFonts w:ascii="Verdana" w:hAnsi="Verdana"/>
          <w:sz w:val="21"/>
          <w:szCs w:val="21"/>
          <w:lang w:val="en-US"/>
        </w:rPr>
        <w:t>High-BPI sires produced approximately two- to five-fold greater cumulative kilograms of weaned calf through their retained daughters compared with low-BPI sires.</w:t>
      </w:r>
    </w:p>
    <w:p w14:paraId="73735EAB" w14:textId="27EDC59B" w:rsidR="006E11A4" w:rsidRPr="00200B10" w:rsidRDefault="00200B10" w:rsidP="00D236E1">
      <w:pPr>
        <w:spacing w:after="120"/>
        <w:rPr>
          <w:rFonts w:ascii="Verdana" w:hAnsi="Verdana"/>
          <w:b/>
          <w:sz w:val="21"/>
          <w:szCs w:val="21"/>
        </w:rPr>
      </w:pPr>
      <w:r w:rsidRPr="00200B10">
        <w:rPr>
          <w:rFonts w:ascii="Verdana" w:hAnsi="Verdana"/>
          <w:b/>
          <w:sz w:val="21"/>
          <w:szCs w:val="21"/>
        </w:rPr>
        <w:t>Genomic Vigor Scores and Female Performance</w:t>
      </w:r>
    </w:p>
    <w:p w14:paraId="74E6F728" w14:textId="0B8637C1" w:rsidR="00DB6552" w:rsidRDefault="00D236E1" w:rsidP="009F6C6F">
      <w:pPr>
        <w:rPr>
          <w:rFonts w:ascii="Verdana" w:hAnsi="Verdana"/>
          <w:sz w:val="21"/>
          <w:szCs w:val="21"/>
          <w:lang w:val="en-US"/>
        </w:rPr>
      </w:pPr>
      <w:r w:rsidRPr="00D236E1">
        <w:rPr>
          <w:rFonts w:ascii="Verdana" w:hAnsi="Verdana"/>
          <w:sz w:val="21"/>
          <w:szCs w:val="21"/>
          <w:lang w:val="en-US"/>
        </w:rPr>
        <w:t xml:space="preserve">Genomic testing using </w:t>
      </w:r>
      <w:proofErr w:type="spellStart"/>
      <w:r w:rsidRPr="00D236E1">
        <w:rPr>
          <w:rFonts w:ascii="Verdana" w:hAnsi="Verdana"/>
          <w:sz w:val="21"/>
          <w:szCs w:val="21"/>
          <w:lang w:val="en-US"/>
        </w:rPr>
        <w:t>EnVigour</w:t>
      </w:r>
      <w:proofErr w:type="spellEnd"/>
      <w:r w:rsidRPr="00D236E1">
        <w:rPr>
          <w:rFonts w:ascii="Verdana" w:hAnsi="Verdana"/>
          <w:sz w:val="21"/>
          <w:szCs w:val="21"/>
          <w:lang w:val="en-US"/>
        </w:rPr>
        <w:t xml:space="preserve"> HX™ revealed clear differences in hybrid vigor among animal groups. Purebred Angus bulls averaged approximately 34% genomic vigor, while crossbred Beef Booster composite bulls averaged 86% vigor, reflecting their higher heterozygosity and crossbred origin.</w:t>
      </w:r>
      <w:r w:rsidR="009F6C6F">
        <w:rPr>
          <w:rFonts w:ascii="Verdana" w:hAnsi="Verdana"/>
          <w:sz w:val="21"/>
          <w:szCs w:val="21"/>
          <w:lang w:val="en-US"/>
        </w:rPr>
        <w:t xml:space="preserve"> </w:t>
      </w:r>
      <w:r w:rsidRPr="00D236E1">
        <w:rPr>
          <w:rFonts w:ascii="Verdana" w:hAnsi="Verdana"/>
          <w:sz w:val="21"/>
          <w:szCs w:val="21"/>
          <w:lang w:val="en-US"/>
        </w:rPr>
        <w:t>Replacement heifers showed increasing average vigor over successive years, rising from approximately 53% to 72%, indicating that the producer progressively selected higher-vigor crossbred females as replacements. Calves born into the herd averaged approximately 73% genomic vigor, confirming successful retention of heterosis in the breeding system.</w:t>
      </w:r>
      <w:r w:rsidR="005C4D40">
        <w:rPr>
          <w:rFonts w:ascii="Verdana" w:hAnsi="Verdana"/>
          <w:sz w:val="21"/>
          <w:szCs w:val="21"/>
          <w:lang w:val="en-US"/>
        </w:rPr>
        <w:t xml:space="preserve"> </w:t>
      </w:r>
      <w:r w:rsidR="005C4D40" w:rsidRPr="005C4D40">
        <w:rPr>
          <w:rFonts w:ascii="Verdana" w:hAnsi="Verdana"/>
          <w:sz w:val="21"/>
          <w:szCs w:val="21"/>
          <w:lang w:val="en-US"/>
        </w:rPr>
        <w:t xml:space="preserve">These results demonstrate that genomic vigor testing </w:t>
      </w:r>
      <w:r w:rsidR="005C4D40" w:rsidRPr="005C4D40">
        <w:rPr>
          <w:rFonts w:ascii="Verdana" w:hAnsi="Verdana"/>
          <w:sz w:val="21"/>
          <w:szCs w:val="21"/>
          <w:lang w:val="en-US"/>
        </w:rPr>
        <w:lastRenderedPageBreak/>
        <w:t>provides an effective and objective method for monitoring crossbreeding outcomes in commercial herds.</w:t>
      </w:r>
      <w:r w:rsidR="005C4D40">
        <w:rPr>
          <w:rFonts w:ascii="Verdana" w:hAnsi="Verdana"/>
          <w:sz w:val="21"/>
          <w:szCs w:val="21"/>
          <w:lang w:val="en-US"/>
        </w:rPr>
        <w:t xml:space="preserve"> </w:t>
      </w:r>
    </w:p>
    <w:p w14:paraId="3AE7F708" w14:textId="06CEA64B" w:rsidR="00612F2B" w:rsidRPr="00612F2B" w:rsidRDefault="00200B10" w:rsidP="00612F2B">
      <w:pPr>
        <w:rPr>
          <w:rFonts w:ascii="Verdana" w:hAnsi="Verdana"/>
          <w:sz w:val="21"/>
          <w:szCs w:val="21"/>
          <w:lang w:val="en-US"/>
        </w:rPr>
      </w:pPr>
      <w:r w:rsidRPr="00200B10">
        <w:rPr>
          <w:rFonts w:ascii="Verdana" w:hAnsi="Verdana"/>
          <w:sz w:val="21"/>
          <w:szCs w:val="21"/>
          <w:lang w:val="en-US"/>
        </w:rPr>
        <w:t>Increasing heifer</w:t>
      </w:r>
      <w:r w:rsidR="00D36DB1">
        <w:rPr>
          <w:rFonts w:ascii="Verdana" w:hAnsi="Verdana"/>
          <w:sz w:val="21"/>
          <w:szCs w:val="21"/>
          <w:lang w:val="en-US"/>
        </w:rPr>
        <w:t>’s</w:t>
      </w:r>
      <w:r w:rsidRPr="00200B10">
        <w:rPr>
          <w:rFonts w:ascii="Verdana" w:hAnsi="Verdana"/>
          <w:sz w:val="21"/>
          <w:szCs w:val="21"/>
          <w:lang w:val="en-US"/>
        </w:rPr>
        <w:t xml:space="preserve"> </w:t>
      </w:r>
      <w:r w:rsidR="00D36DB1">
        <w:rPr>
          <w:rFonts w:ascii="Verdana" w:hAnsi="Verdana"/>
          <w:sz w:val="21"/>
          <w:szCs w:val="21"/>
          <w:lang w:val="en-US"/>
        </w:rPr>
        <w:t xml:space="preserve">hybrid </w:t>
      </w:r>
      <w:r w:rsidRPr="00200B10">
        <w:rPr>
          <w:rFonts w:ascii="Verdana" w:hAnsi="Verdana"/>
          <w:sz w:val="21"/>
          <w:szCs w:val="21"/>
          <w:lang w:val="en-US"/>
        </w:rPr>
        <w:t xml:space="preserve">vigor was associated with improved </w:t>
      </w:r>
      <w:r w:rsidR="00612F2B">
        <w:rPr>
          <w:rFonts w:ascii="Verdana" w:hAnsi="Verdana"/>
          <w:sz w:val="21"/>
          <w:szCs w:val="21"/>
          <w:lang w:val="en-US"/>
        </w:rPr>
        <w:t xml:space="preserve">age at first calving, </w:t>
      </w:r>
      <w:r w:rsidRPr="00200B10">
        <w:rPr>
          <w:rFonts w:ascii="Verdana" w:hAnsi="Verdana"/>
          <w:sz w:val="21"/>
          <w:szCs w:val="21"/>
          <w:lang w:val="en-US"/>
        </w:rPr>
        <w:t xml:space="preserve">conception rate, </w:t>
      </w:r>
      <w:r w:rsidR="00612F2B" w:rsidRPr="00612F2B">
        <w:rPr>
          <w:rFonts w:ascii="Verdana" w:hAnsi="Verdana"/>
          <w:sz w:val="21"/>
          <w:szCs w:val="21"/>
          <w:lang w:val="en-US"/>
        </w:rPr>
        <w:t xml:space="preserve">average wean weight per calf and </w:t>
      </w:r>
      <w:r w:rsidR="00612F2B">
        <w:rPr>
          <w:rFonts w:ascii="Verdana" w:hAnsi="Verdana"/>
          <w:sz w:val="21"/>
          <w:szCs w:val="21"/>
          <w:lang w:val="en-US"/>
        </w:rPr>
        <w:t xml:space="preserve">cow </w:t>
      </w:r>
      <w:r w:rsidR="00612F2B" w:rsidRPr="00612F2B">
        <w:rPr>
          <w:rFonts w:ascii="Verdana" w:hAnsi="Verdana"/>
          <w:sz w:val="21"/>
          <w:szCs w:val="21"/>
          <w:lang w:val="en-US"/>
        </w:rPr>
        <w:t>lifetime</w:t>
      </w:r>
      <w:r w:rsidR="00281930">
        <w:rPr>
          <w:rFonts w:ascii="Verdana" w:hAnsi="Verdana"/>
          <w:sz w:val="21"/>
          <w:szCs w:val="21"/>
          <w:lang w:val="en-US"/>
        </w:rPr>
        <w:t xml:space="preserve"> </w:t>
      </w:r>
      <w:r w:rsidR="00281930" w:rsidRPr="00612F2B">
        <w:rPr>
          <w:rFonts w:ascii="Verdana" w:hAnsi="Verdana"/>
          <w:sz w:val="21"/>
          <w:szCs w:val="21"/>
          <w:lang w:val="en-US"/>
        </w:rPr>
        <w:t>kilograms of calf weaned</w:t>
      </w:r>
      <w:r w:rsidR="00612F2B" w:rsidRPr="00612F2B">
        <w:rPr>
          <w:rFonts w:ascii="Verdana" w:hAnsi="Verdana"/>
          <w:sz w:val="21"/>
          <w:szCs w:val="21"/>
          <w:lang w:val="en-US"/>
        </w:rPr>
        <w:t xml:space="preserve"> productivity</w:t>
      </w:r>
      <w:r w:rsidRPr="00200B10">
        <w:rPr>
          <w:rFonts w:ascii="Verdana" w:hAnsi="Verdana"/>
          <w:sz w:val="21"/>
          <w:szCs w:val="21"/>
          <w:lang w:val="en-US"/>
        </w:rPr>
        <w:t>. However, little additional benefit was observed beyond 75% vigor</w:t>
      </w:r>
      <w:r w:rsidR="00D36DB1">
        <w:rPr>
          <w:rFonts w:ascii="Verdana" w:hAnsi="Verdana"/>
          <w:sz w:val="21"/>
          <w:szCs w:val="21"/>
          <w:lang w:val="en-US"/>
        </w:rPr>
        <w:t xml:space="preserve"> score</w:t>
      </w:r>
      <w:r w:rsidRPr="00200B10">
        <w:rPr>
          <w:rFonts w:ascii="Verdana" w:hAnsi="Verdana"/>
          <w:sz w:val="21"/>
          <w:szCs w:val="21"/>
          <w:lang w:val="en-US"/>
        </w:rPr>
        <w:t>, suggesting diminishing returns</w:t>
      </w:r>
      <w:r w:rsidR="00612F2B">
        <w:rPr>
          <w:rFonts w:ascii="Verdana" w:hAnsi="Verdana"/>
          <w:sz w:val="21"/>
          <w:szCs w:val="21"/>
          <w:lang w:val="en-US"/>
        </w:rPr>
        <w:t xml:space="preserve"> </w:t>
      </w:r>
      <w:r w:rsidR="00612F2B" w:rsidRPr="00612F2B">
        <w:rPr>
          <w:rFonts w:ascii="Verdana" w:hAnsi="Verdana"/>
          <w:sz w:val="21"/>
          <w:szCs w:val="21"/>
          <w:lang w:val="en-US"/>
        </w:rPr>
        <w:t>beyond this threshold</w:t>
      </w:r>
      <w:r w:rsidR="00003200" w:rsidRPr="00003200">
        <w:rPr>
          <w:rFonts w:ascii="Verdana" w:hAnsi="Verdana"/>
          <w:sz w:val="21"/>
          <w:szCs w:val="21"/>
          <w:lang w:val="en-US"/>
        </w:rPr>
        <w:t xml:space="preserve"> </w:t>
      </w:r>
      <w:r w:rsidR="00003200" w:rsidRPr="00612F2B">
        <w:rPr>
          <w:rFonts w:ascii="Verdana" w:hAnsi="Verdana"/>
          <w:sz w:val="21"/>
          <w:szCs w:val="21"/>
          <w:lang w:val="en-US"/>
        </w:rPr>
        <w:t>in commercial production environments</w:t>
      </w:r>
      <w:r w:rsidR="00612F2B" w:rsidRPr="00612F2B">
        <w:rPr>
          <w:rFonts w:ascii="Verdana" w:hAnsi="Verdana"/>
          <w:sz w:val="21"/>
          <w:szCs w:val="21"/>
          <w:lang w:val="en-US"/>
        </w:rPr>
        <w:t>.</w:t>
      </w:r>
    </w:p>
    <w:p w14:paraId="1996EAAA" w14:textId="77777777" w:rsidR="00964582" w:rsidRPr="00964582" w:rsidRDefault="00964582" w:rsidP="005F7E4D">
      <w:pPr>
        <w:rPr>
          <w:rFonts w:ascii="Verdana" w:hAnsi="Verdana"/>
          <w:sz w:val="21"/>
          <w:szCs w:val="21"/>
          <w:lang w:val="en-US"/>
        </w:rPr>
      </w:pPr>
    </w:p>
    <w:p w14:paraId="616C1B85" w14:textId="77777777" w:rsidR="00AD2F20" w:rsidRDefault="00AD2F20" w:rsidP="00B81A7F">
      <w:pPr>
        <w:spacing w:after="120"/>
        <w:rPr>
          <w:rFonts w:ascii="Verdana" w:hAnsi="Verdana"/>
          <w:b/>
          <w:bCs/>
          <w:sz w:val="21"/>
          <w:szCs w:val="21"/>
          <w:lang w:val="en-US"/>
        </w:rPr>
      </w:pPr>
      <w:r>
        <w:rPr>
          <w:rFonts w:ascii="Verdana" w:hAnsi="Verdana"/>
          <w:b/>
          <w:bCs/>
          <w:sz w:val="21"/>
          <w:szCs w:val="21"/>
          <w:lang w:val="en-US"/>
        </w:rPr>
        <w:t>Implications</w:t>
      </w:r>
    </w:p>
    <w:p w14:paraId="3A2FAA7D" w14:textId="39F2BC51" w:rsidR="00964582" w:rsidRDefault="00272B4C" w:rsidP="005017B5">
      <w:pPr>
        <w:rPr>
          <w:rFonts w:ascii="Verdana" w:hAnsi="Verdana"/>
          <w:sz w:val="21"/>
          <w:szCs w:val="21"/>
          <w:lang w:val="en-US"/>
        </w:rPr>
      </w:pPr>
      <w:r>
        <w:rPr>
          <w:rFonts w:ascii="Verdana" w:hAnsi="Verdana"/>
          <w:sz w:val="21"/>
          <w:szCs w:val="21"/>
          <w:lang w:val="en-US"/>
        </w:rPr>
        <w:t>P</w:t>
      </w:r>
      <w:r w:rsidRPr="00947737">
        <w:rPr>
          <w:rFonts w:ascii="Verdana" w:hAnsi="Verdana"/>
          <w:sz w:val="21"/>
          <w:szCs w:val="21"/>
          <w:lang w:val="en-US"/>
        </w:rPr>
        <w:t>arentage and genomic results reveal a powerful combined strategy for herd improvement.</w:t>
      </w:r>
      <w:r>
        <w:rPr>
          <w:rFonts w:ascii="Verdana" w:hAnsi="Verdana"/>
          <w:sz w:val="21"/>
          <w:szCs w:val="21"/>
          <w:lang w:val="en-US"/>
        </w:rPr>
        <w:t xml:space="preserve"> </w:t>
      </w:r>
      <w:r w:rsidR="00D93EF3" w:rsidRPr="00D93EF3">
        <w:rPr>
          <w:rFonts w:ascii="Verdana" w:hAnsi="Verdana"/>
          <w:sz w:val="21"/>
          <w:szCs w:val="21"/>
          <w:lang w:val="en-US"/>
        </w:rPr>
        <w:t>DNA parentage testing identifies high- and low-contributing bulls</w:t>
      </w:r>
      <w:r w:rsidR="005017B5" w:rsidRPr="005017B5">
        <w:rPr>
          <w:rFonts w:ascii="Verdana" w:hAnsi="Verdana"/>
          <w:sz w:val="21"/>
          <w:szCs w:val="21"/>
          <w:lang w:val="en-US"/>
        </w:rPr>
        <w:t xml:space="preserve"> </w:t>
      </w:r>
      <w:r w:rsidR="005017B5" w:rsidRPr="00947737">
        <w:rPr>
          <w:rFonts w:ascii="Verdana" w:hAnsi="Verdana"/>
          <w:sz w:val="21"/>
          <w:szCs w:val="21"/>
          <w:lang w:val="en-US"/>
        </w:rPr>
        <w:t>on long-term herd productivity and profitability</w:t>
      </w:r>
      <w:r w:rsidR="00D93EF3" w:rsidRPr="00D93EF3">
        <w:rPr>
          <w:rFonts w:ascii="Verdana" w:hAnsi="Verdana"/>
          <w:sz w:val="21"/>
          <w:szCs w:val="21"/>
          <w:lang w:val="en-US"/>
        </w:rPr>
        <w:t xml:space="preserve"> in multi-sire pastures. </w:t>
      </w:r>
      <w:r>
        <w:rPr>
          <w:rFonts w:ascii="Verdana" w:hAnsi="Verdana"/>
          <w:sz w:val="21"/>
          <w:szCs w:val="21"/>
          <w:lang w:val="en-US"/>
        </w:rPr>
        <w:t>G</w:t>
      </w:r>
      <w:r w:rsidRPr="00947737">
        <w:rPr>
          <w:rFonts w:ascii="Verdana" w:hAnsi="Verdana"/>
          <w:sz w:val="21"/>
          <w:szCs w:val="21"/>
          <w:lang w:val="en-US"/>
        </w:rPr>
        <w:t>enomic vigor testing ensures replacement females maintain optimal heterosis. Bulls with high prolificacy and crossbred genetic backgrounds offer dual advantages: increased calf numbers and enhanced hybrid vigor in offspring.</w:t>
      </w:r>
      <w:r w:rsidR="005017B5">
        <w:rPr>
          <w:rFonts w:ascii="Verdana" w:hAnsi="Verdana"/>
          <w:sz w:val="21"/>
          <w:szCs w:val="21"/>
          <w:lang w:val="en-US"/>
        </w:rPr>
        <w:t xml:space="preserve"> Also, g</w:t>
      </w:r>
      <w:r w:rsidR="00D93EF3" w:rsidRPr="00D93EF3">
        <w:rPr>
          <w:rFonts w:ascii="Verdana" w:hAnsi="Verdana"/>
          <w:sz w:val="21"/>
          <w:szCs w:val="21"/>
          <w:lang w:val="en-US"/>
        </w:rPr>
        <w:t>enomic vigor testing provides a practical tool to guide replacement heifer selection, with optimal performance observed at 70–75% vigor</w:t>
      </w:r>
      <w:r w:rsidR="00311C17">
        <w:rPr>
          <w:rFonts w:ascii="Verdana" w:hAnsi="Verdana"/>
          <w:sz w:val="21"/>
          <w:szCs w:val="21"/>
          <w:lang w:val="en-US"/>
        </w:rPr>
        <w:t xml:space="preserve"> score</w:t>
      </w:r>
      <w:r w:rsidR="00D93EF3" w:rsidRPr="00D93EF3">
        <w:rPr>
          <w:rFonts w:ascii="Verdana" w:hAnsi="Verdana"/>
          <w:sz w:val="21"/>
          <w:szCs w:val="21"/>
          <w:lang w:val="en-US"/>
        </w:rPr>
        <w:t>.</w:t>
      </w:r>
      <w:r w:rsidR="005017B5">
        <w:rPr>
          <w:rFonts w:ascii="Verdana" w:hAnsi="Verdana"/>
          <w:sz w:val="21"/>
          <w:szCs w:val="21"/>
          <w:lang w:val="en-US"/>
        </w:rPr>
        <w:t xml:space="preserve"> </w:t>
      </w:r>
      <w:r w:rsidR="00947737" w:rsidRPr="00947737">
        <w:rPr>
          <w:rFonts w:ascii="Verdana" w:hAnsi="Verdana"/>
          <w:sz w:val="21"/>
          <w:szCs w:val="21"/>
          <w:lang w:val="en-US"/>
        </w:rPr>
        <w:t>The integration of these technologies enables commercial producers to move beyond visual selection and pedigree alone, adopting data-driven breeding decisions that improve fertility, longevity, and lifetime herd productivity.</w:t>
      </w:r>
    </w:p>
    <w:p w14:paraId="2ACC8B5B" w14:textId="77777777" w:rsidR="00964582" w:rsidRPr="00964582" w:rsidRDefault="00964582" w:rsidP="005F7E4D">
      <w:pPr>
        <w:rPr>
          <w:rFonts w:ascii="Verdana" w:hAnsi="Verdana"/>
          <w:sz w:val="21"/>
          <w:szCs w:val="21"/>
          <w:lang w:val="en-US"/>
        </w:rPr>
      </w:pPr>
    </w:p>
    <w:p w14:paraId="714CE270" w14:textId="77777777" w:rsidR="00270BF1" w:rsidRPr="000902C3" w:rsidRDefault="000902C3" w:rsidP="00B81A7F">
      <w:pPr>
        <w:spacing w:after="120"/>
        <w:rPr>
          <w:rFonts w:ascii="Verdana" w:hAnsi="Verdana"/>
          <w:b/>
          <w:bCs/>
          <w:sz w:val="21"/>
          <w:szCs w:val="21"/>
          <w:lang w:val="en-US"/>
        </w:rPr>
      </w:pPr>
      <w:r w:rsidRPr="000902C3">
        <w:rPr>
          <w:rFonts w:ascii="Verdana" w:hAnsi="Verdana"/>
          <w:b/>
          <w:bCs/>
          <w:sz w:val="21"/>
          <w:szCs w:val="21"/>
          <w:lang w:val="en-US"/>
        </w:rPr>
        <w:t>Acknowledgements</w:t>
      </w:r>
    </w:p>
    <w:p w14:paraId="36EDD651" w14:textId="1F216A4B" w:rsidR="00346689" w:rsidRDefault="00DC4976" w:rsidP="005F7E4D">
      <w:pPr>
        <w:rPr>
          <w:rFonts w:ascii="Verdana" w:hAnsi="Verdana"/>
          <w:sz w:val="20"/>
          <w:szCs w:val="20"/>
        </w:rPr>
      </w:pPr>
      <w:r w:rsidRPr="00DC4976">
        <w:rPr>
          <w:rFonts w:ascii="Verdana" w:hAnsi="Verdana"/>
          <w:sz w:val="20"/>
          <w:szCs w:val="20"/>
        </w:rPr>
        <w:t>Funding for this research was provided by the Saskatchewan Ministry of Agriculture’s Agricultural Development Fund and the Saskatchewan Cattlemen’s Association. The authors acknowledge the cooperating ranch for access to herd records and thank technical staff and students for assistance with data collection and genomic analyses.</w:t>
      </w:r>
    </w:p>
    <w:p w14:paraId="17AF1E58" w14:textId="77777777" w:rsidR="00964582" w:rsidRPr="00964582" w:rsidRDefault="00964582" w:rsidP="005F7E4D">
      <w:pPr>
        <w:rPr>
          <w:rFonts w:ascii="Verdana" w:hAnsi="Verdana"/>
          <w:sz w:val="20"/>
          <w:szCs w:val="20"/>
        </w:rPr>
      </w:pPr>
    </w:p>
    <w:p w14:paraId="5D43B98A" w14:textId="77777777" w:rsidR="00091922" w:rsidRDefault="00CB0A35" w:rsidP="00B81A7F">
      <w:pPr>
        <w:spacing w:after="120"/>
        <w:rPr>
          <w:rFonts w:ascii="Verdana" w:hAnsi="Verdana"/>
          <w:b/>
          <w:bCs/>
          <w:sz w:val="20"/>
          <w:szCs w:val="20"/>
        </w:rPr>
      </w:pPr>
      <w:r w:rsidRPr="00CB0A35">
        <w:rPr>
          <w:rFonts w:ascii="Verdana" w:hAnsi="Verdana"/>
          <w:b/>
          <w:bCs/>
          <w:sz w:val="20"/>
          <w:szCs w:val="20"/>
        </w:rPr>
        <w:t>References</w:t>
      </w:r>
    </w:p>
    <w:p w14:paraId="0A31D45A" w14:textId="59B36A13" w:rsidR="00346689" w:rsidRDefault="00C759E5" w:rsidP="005F7E4D">
      <w:pPr>
        <w:rPr>
          <w:rFonts w:ascii="Verdana" w:hAnsi="Verdana"/>
          <w:sz w:val="20"/>
          <w:szCs w:val="20"/>
        </w:rPr>
      </w:pPr>
      <w:r w:rsidRPr="00C759E5">
        <w:rPr>
          <w:rFonts w:ascii="Verdana" w:hAnsi="Verdana"/>
          <w:sz w:val="20"/>
          <w:szCs w:val="20"/>
        </w:rPr>
        <w:t xml:space="preserve">Mills T., Khorshidi R., </w:t>
      </w:r>
      <w:proofErr w:type="spellStart"/>
      <w:r w:rsidRPr="00C759E5">
        <w:rPr>
          <w:rFonts w:ascii="Verdana" w:hAnsi="Verdana"/>
          <w:sz w:val="20"/>
          <w:szCs w:val="20"/>
        </w:rPr>
        <w:t>Damiran</w:t>
      </w:r>
      <w:proofErr w:type="spellEnd"/>
      <w:r w:rsidRPr="00C759E5">
        <w:rPr>
          <w:rFonts w:ascii="Verdana" w:hAnsi="Verdana"/>
          <w:sz w:val="20"/>
          <w:szCs w:val="20"/>
        </w:rPr>
        <w:t xml:space="preserve"> D., Asai-</w:t>
      </w:r>
      <w:proofErr w:type="spellStart"/>
      <w:r w:rsidRPr="00C759E5">
        <w:rPr>
          <w:rFonts w:ascii="Verdana" w:hAnsi="Verdana"/>
          <w:sz w:val="20"/>
          <w:szCs w:val="20"/>
        </w:rPr>
        <w:t>Coakwell</w:t>
      </w:r>
      <w:proofErr w:type="spellEnd"/>
      <w:r w:rsidRPr="00C759E5">
        <w:rPr>
          <w:rFonts w:ascii="Verdana" w:hAnsi="Verdana"/>
          <w:sz w:val="20"/>
          <w:szCs w:val="20"/>
        </w:rPr>
        <w:t xml:space="preserve"> M., Moya D., Larson K., Lardner H.A. (2025). Application of DNA parentage testing and </w:t>
      </w:r>
      <w:proofErr w:type="spellStart"/>
      <w:r w:rsidRPr="00C759E5">
        <w:rPr>
          <w:rFonts w:ascii="Verdana" w:hAnsi="Verdana"/>
          <w:sz w:val="20"/>
          <w:szCs w:val="20"/>
        </w:rPr>
        <w:t>EnVigour</w:t>
      </w:r>
      <w:proofErr w:type="spellEnd"/>
      <w:r w:rsidRPr="00C759E5">
        <w:rPr>
          <w:rFonts w:ascii="Verdana" w:hAnsi="Verdana"/>
          <w:sz w:val="20"/>
          <w:szCs w:val="20"/>
        </w:rPr>
        <w:t xml:space="preserve"> HX™ to evaluate bull prolificacy and replacement heifer performance in beef cattle breeding programs in Western Canada. Translational Animal Science, 9, txaf129.</w:t>
      </w:r>
    </w:p>
    <w:sectPr w:rsidR="00346689" w:rsidSect="00B779E8">
      <w:headerReference w:type="default" r:id="rId8"/>
      <w:headerReference w:type="first" r:id="rId9"/>
      <w:pgSz w:w="12240" w:h="15840"/>
      <w:pgMar w:top="1710" w:right="1710" w:bottom="1440" w:left="1800" w:header="45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7CB4D" w14:textId="77777777" w:rsidR="005B23CF" w:rsidRDefault="005B23CF" w:rsidP="009F778A">
      <w:r>
        <w:separator/>
      </w:r>
    </w:p>
  </w:endnote>
  <w:endnote w:type="continuationSeparator" w:id="0">
    <w:p w14:paraId="510851E4" w14:textId="77777777" w:rsidR="005B23CF" w:rsidRDefault="005B23CF" w:rsidP="009F7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21AC5" w14:textId="77777777" w:rsidR="005B23CF" w:rsidRDefault="005B23CF" w:rsidP="009F778A">
      <w:r>
        <w:separator/>
      </w:r>
    </w:p>
  </w:footnote>
  <w:footnote w:type="continuationSeparator" w:id="0">
    <w:p w14:paraId="6E895668" w14:textId="77777777" w:rsidR="005B23CF" w:rsidRDefault="005B23CF" w:rsidP="009F7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F9B99" w14:textId="77777777" w:rsidR="00E25280" w:rsidRDefault="00CB439E">
    <w:pPr>
      <w:pStyle w:val="Header"/>
    </w:pPr>
    <w:r w:rsidRPr="00322A9C">
      <w:rPr>
        <w:b/>
        <w:noProof/>
        <w:lang w:val="en-US" w:eastAsia="ja-JP"/>
      </w:rPr>
      <w:drawing>
        <wp:inline distT="0" distB="0" distL="0" distR="0" wp14:anchorId="3A1F621A" wp14:editId="61036246">
          <wp:extent cx="1114778" cy="952500"/>
          <wp:effectExtent l="0" t="0" r="9525" b="0"/>
          <wp:docPr id="5" name="Picture 1" descr="Z:\LardnerLogo_CorissaWilcox20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LardnerLogo_CorissaWilcox2023.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4778" cy="9525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02A5C" w14:textId="14E4B230" w:rsidR="002326D9" w:rsidRDefault="00C054C7" w:rsidP="004A1E5A">
    <w:pPr>
      <w:pStyle w:val="Header"/>
      <w:rPr>
        <w:noProof/>
        <w:lang w:val="en-US" w:eastAsia="en-US"/>
      </w:rPr>
    </w:pPr>
    <w:r w:rsidRPr="00322A9C">
      <w:rPr>
        <w:b/>
        <w:noProof/>
        <w:lang w:val="en-US" w:eastAsia="ja-JP"/>
      </w:rPr>
      <w:drawing>
        <wp:inline distT="0" distB="0" distL="0" distR="0" wp14:anchorId="59DE07AC" wp14:editId="5A65188C">
          <wp:extent cx="1707554" cy="1219200"/>
          <wp:effectExtent l="0" t="0" r="6985" b="0"/>
          <wp:docPr id="64" name="Picture 1" descr="Z:\LardnerLogo_CorissaWilcox20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LardnerLogo_CorissaWilcox2023.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5218" cy="1231812"/>
                  </a:xfrm>
                  <a:prstGeom prst="rect">
                    <a:avLst/>
                  </a:prstGeom>
                  <a:noFill/>
                  <a:ln>
                    <a:noFill/>
                  </a:ln>
                </pic:spPr>
              </pic:pic>
            </a:graphicData>
          </a:graphic>
        </wp:inline>
      </w:drawing>
    </w:r>
    <w:r w:rsidR="003F58D8">
      <w:rPr>
        <w:rFonts w:ascii="Verdana" w:hAnsi="Verdana"/>
        <w:b/>
        <w:color w:val="70AD47"/>
      </w:rPr>
      <w:tab/>
      <w:t xml:space="preserve">                                                     FACT </w:t>
    </w:r>
    <w:r w:rsidR="003F58D8" w:rsidRPr="00D7111D">
      <w:rPr>
        <w:rFonts w:ascii="Verdana" w:hAnsi="Verdana"/>
        <w:b/>
        <w:color w:val="70AD47"/>
      </w:rPr>
      <w:t>SHEET</w:t>
    </w:r>
  </w:p>
  <w:p w14:paraId="2625E869" w14:textId="5FF55013" w:rsidR="002262FE" w:rsidRPr="00D7111D" w:rsidRDefault="002326D9" w:rsidP="002C24C3">
    <w:pPr>
      <w:pStyle w:val="Header"/>
      <w:spacing w:before="120"/>
      <w:jc w:val="center"/>
      <w:rPr>
        <w:rFonts w:ascii="Verdana" w:hAnsi="Verdana"/>
        <w:b/>
        <w:color w:val="70AD47"/>
      </w:rPr>
    </w:pPr>
    <w:r w:rsidRPr="00EF7428">
      <w:rPr>
        <w:rFonts w:ascii="Verdana" w:hAnsi="Verdana"/>
        <w:b/>
        <w:noProof/>
        <w:sz w:val="22"/>
        <w:szCs w:val="22"/>
        <w:lang w:val="en-US" w:eastAsia="en-US"/>
      </w:rPr>
      <w:t xml:space="preserve">Applied Forage &amp; Cow-Calf Research </w:t>
    </w:r>
    <w:r w:rsidR="00EF7428" w:rsidRPr="00EF7428">
      <w:rPr>
        <w:rFonts w:ascii="Verdana" w:hAnsi="Verdana"/>
        <w:b/>
        <w:noProof/>
        <w:sz w:val="22"/>
        <w:szCs w:val="22"/>
        <w:lang w:val="en-US" w:eastAsia="en-US"/>
      </w:rPr>
      <w:t xml:space="preserve">Lardner </w:t>
    </w:r>
    <w:r w:rsidRPr="00EF7428">
      <w:rPr>
        <w:rFonts w:ascii="Verdana" w:hAnsi="Verdana"/>
        <w:b/>
        <w:noProof/>
        <w:sz w:val="22"/>
        <w:szCs w:val="22"/>
        <w:lang w:val="en-US" w:eastAsia="en-US"/>
      </w:rPr>
      <w:t>Lab</w:t>
    </w:r>
    <w:r w:rsidR="00A667FC">
      <w:rPr>
        <w:rFonts w:ascii="Verdana" w:hAnsi="Verdana"/>
      </w:rPr>
      <w:t xml:space="preserve"> </w:t>
    </w:r>
    <w:r>
      <w:rPr>
        <w:rFonts w:ascii="Verdana" w:hAnsi="Verdana"/>
      </w:rPr>
      <w:t xml:space="preserve"> </w:t>
    </w:r>
    <w:r w:rsidR="00A667FC">
      <w:rPr>
        <w:rFonts w:ascii="Verdana" w:hAnsi="Verdana"/>
      </w:rPr>
      <w:t xml:space="preserve">   </w:t>
    </w:r>
    <w:r w:rsidR="00016054">
      <w:rPr>
        <w:rFonts w:ascii="Verdana" w:hAnsi="Verdana"/>
      </w:rPr>
      <w:t xml:space="preserve"> </w:t>
    </w:r>
    <w:r w:rsidR="00C054C7">
      <w:rPr>
        <w:rFonts w:ascii="Verdana" w:hAnsi="Verdana"/>
        <w:b/>
        <w:noProof/>
        <w:lang w:val="en-US" w:eastAsia="ja-JP"/>
      </w:rPr>
      <mc:AlternateContent>
        <mc:Choice Requires="wps">
          <w:drawing>
            <wp:anchor distT="0" distB="0" distL="114300" distR="114300" simplePos="0" relativeHeight="251659264" behindDoc="0" locked="0" layoutInCell="1" allowOverlap="1" wp14:anchorId="67EF9A5B" wp14:editId="6E018693">
              <wp:simplePos x="0" y="0"/>
              <wp:positionH relativeFrom="column">
                <wp:posOffset>-29845</wp:posOffset>
              </wp:positionH>
              <wp:positionV relativeFrom="paragraph">
                <wp:posOffset>38735</wp:posOffset>
              </wp:positionV>
              <wp:extent cx="2780665" cy="0"/>
              <wp:effectExtent l="17780" t="17145" r="20955" b="20955"/>
              <wp:wrapNone/>
              <wp:docPr id="3"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80665" cy="0"/>
                      </a:xfrm>
                      <a:prstGeom prst="straightConnector1">
                        <a:avLst/>
                      </a:prstGeom>
                      <a:noFill/>
                      <a:ln w="25400">
                        <a:solidFill>
                          <a:srgbClr val="3333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8A3CB13" id="_x0000_t32" coordsize="21600,21600" o:spt="32" o:oned="t" path="m,l21600,21600e" filled="f">
              <v:path arrowok="t" fillok="f" o:connecttype="none"/>
              <o:lock v:ext="edit" shapetype="t"/>
            </v:shapetype>
            <v:shape id="AutoShape 19" o:spid="_x0000_s1026" type="#_x0000_t32" style="position:absolute;margin-left:-2.35pt;margin-top:3.05pt;width:218.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" strokecolor="#339" strokeweight="2pt"/>
          </w:pict>
        </mc:Fallback>
      </mc:AlternateContent>
    </w:r>
    <w:r w:rsidR="00CC68A5" w:rsidRPr="00D7111D">
      <w:rPr>
        <w:rFonts w:ascii="Verdana" w:hAnsi="Verdana"/>
        <w:b/>
        <w:color w:val="70AD47"/>
      </w:rPr>
      <w:t>#</w:t>
    </w:r>
    <w:r>
      <w:rPr>
        <w:rFonts w:ascii="Verdana" w:hAnsi="Verdana"/>
        <w:b/>
        <w:color w:val="70AD47"/>
      </w:rPr>
      <w:t>202</w:t>
    </w:r>
    <w:r w:rsidR="002C24C3">
      <w:rPr>
        <w:rFonts w:ascii="Verdana" w:hAnsi="Verdana"/>
        <w:b/>
        <w:color w:val="70AD47"/>
      </w:rPr>
      <w:t>6</w:t>
    </w:r>
    <w:r>
      <w:rPr>
        <w:rFonts w:ascii="Verdana" w:hAnsi="Verdana"/>
        <w:b/>
        <w:color w:val="70AD47"/>
      </w:rPr>
      <w:t>.0</w:t>
    </w:r>
    <w:r w:rsidR="003A52A4">
      <w:rPr>
        <w:rFonts w:ascii="Verdana" w:hAnsi="Verdana"/>
        <w:b/>
        <w:color w:val="70AD47"/>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C46EAA"/>
    <w:multiLevelType w:val="multilevel"/>
    <w:tmpl w:val="9DF65D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4593876"/>
    <w:multiLevelType w:val="multilevel"/>
    <w:tmpl w:val="685CEC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957875199">
    <w:abstractNumId w:val="0"/>
  </w:num>
  <w:num w:numId="2" w16cid:durableId="13538454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CA" w:vendorID="64" w:dllVersion="6" w:nlCheck="1" w:checkStyle="1"/>
  <w:activeWritingStyle w:appName="MSWord" w:lang="en-US" w:vendorID="64" w:dllVersion="6" w:nlCheck="1" w:checkStyle="1"/>
  <w:activeWritingStyle w:appName="MSWord" w:lang="en-US" w:vendorID="64" w:dllVersion="0" w:nlCheck="1" w:checkStyle="0"/>
  <w:activeWritingStyle w:appName="MSWord" w:lang="en-CA"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o:colormru v:ext="edit" colors="#962a32"/>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19A9"/>
    <w:rsid w:val="0000162C"/>
    <w:rsid w:val="00003200"/>
    <w:rsid w:val="000108B5"/>
    <w:rsid w:val="00013CE3"/>
    <w:rsid w:val="00014C87"/>
    <w:rsid w:val="00016054"/>
    <w:rsid w:val="000168BC"/>
    <w:rsid w:val="000250F5"/>
    <w:rsid w:val="00032B97"/>
    <w:rsid w:val="00035D75"/>
    <w:rsid w:val="00037128"/>
    <w:rsid w:val="000455DA"/>
    <w:rsid w:val="00045D87"/>
    <w:rsid w:val="00050DEB"/>
    <w:rsid w:val="00054368"/>
    <w:rsid w:val="00056F92"/>
    <w:rsid w:val="000629CD"/>
    <w:rsid w:val="00062BE7"/>
    <w:rsid w:val="00063AF7"/>
    <w:rsid w:val="00065D3D"/>
    <w:rsid w:val="00070C4D"/>
    <w:rsid w:val="0007133A"/>
    <w:rsid w:val="00071548"/>
    <w:rsid w:val="000828C8"/>
    <w:rsid w:val="00083A75"/>
    <w:rsid w:val="000902C3"/>
    <w:rsid w:val="00091922"/>
    <w:rsid w:val="00093043"/>
    <w:rsid w:val="0009622A"/>
    <w:rsid w:val="000A3FEF"/>
    <w:rsid w:val="000A4DC7"/>
    <w:rsid w:val="000A66B0"/>
    <w:rsid w:val="000A6E6C"/>
    <w:rsid w:val="000B0C7D"/>
    <w:rsid w:val="000B2FC7"/>
    <w:rsid w:val="000C7ECE"/>
    <w:rsid w:val="000D0781"/>
    <w:rsid w:val="000D380D"/>
    <w:rsid w:val="000D3DE0"/>
    <w:rsid w:val="000D5EFF"/>
    <w:rsid w:val="000E0561"/>
    <w:rsid w:val="000F04A5"/>
    <w:rsid w:val="000F1C9A"/>
    <w:rsid w:val="000F1EF1"/>
    <w:rsid w:val="000F6FF4"/>
    <w:rsid w:val="000F6FFF"/>
    <w:rsid w:val="001114B1"/>
    <w:rsid w:val="0011324C"/>
    <w:rsid w:val="001149D5"/>
    <w:rsid w:val="00115204"/>
    <w:rsid w:val="001228B8"/>
    <w:rsid w:val="0012292F"/>
    <w:rsid w:val="00130890"/>
    <w:rsid w:val="00132AFD"/>
    <w:rsid w:val="00137D2A"/>
    <w:rsid w:val="001422A1"/>
    <w:rsid w:val="00150523"/>
    <w:rsid w:val="00152445"/>
    <w:rsid w:val="00160811"/>
    <w:rsid w:val="00161B5A"/>
    <w:rsid w:val="00162658"/>
    <w:rsid w:val="00164134"/>
    <w:rsid w:val="00164462"/>
    <w:rsid w:val="00167E5C"/>
    <w:rsid w:val="0017395A"/>
    <w:rsid w:val="00174FA5"/>
    <w:rsid w:val="00187F6D"/>
    <w:rsid w:val="001A3665"/>
    <w:rsid w:val="001A55A6"/>
    <w:rsid w:val="001A6834"/>
    <w:rsid w:val="001B00F2"/>
    <w:rsid w:val="001B0DED"/>
    <w:rsid w:val="001B5108"/>
    <w:rsid w:val="001B5FD4"/>
    <w:rsid w:val="001C138B"/>
    <w:rsid w:val="001D5AC0"/>
    <w:rsid w:val="001F333B"/>
    <w:rsid w:val="001F3503"/>
    <w:rsid w:val="00200B10"/>
    <w:rsid w:val="0020240E"/>
    <w:rsid w:val="00202FEF"/>
    <w:rsid w:val="00217664"/>
    <w:rsid w:val="00221ADC"/>
    <w:rsid w:val="00224218"/>
    <w:rsid w:val="002262FE"/>
    <w:rsid w:val="00227981"/>
    <w:rsid w:val="00230003"/>
    <w:rsid w:val="002307C9"/>
    <w:rsid w:val="00230C19"/>
    <w:rsid w:val="002326D9"/>
    <w:rsid w:val="002365F1"/>
    <w:rsid w:val="00236F70"/>
    <w:rsid w:val="00251E8E"/>
    <w:rsid w:val="00254E55"/>
    <w:rsid w:val="00257675"/>
    <w:rsid w:val="00270BF1"/>
    <w:rsid w:val="00272B4C"/>
    <w:rsid w:val="00275D1C"/>
    <w:rsid w:val="00281930"/>
    <w:rsid w:val="0028218A"/>
    <w:rsid w:val="0028505A"/>
    <w:rsid w:val="0029350D"/>
    <w:rsid w:val="00295AB3"/>
    <w:rsid w:val="00296FB9"/>
    <w:rsid w:val="002A4E21"/>
    <w:rsid w:val="002B2226"/>
    <w:rsid w:val="002B3AFE"/>
    <w:rsid w:val="002B520D"/>
    <w:rsid w:val="002C0FB0"/>
    <w:rsid w:val="002C24C3"/>
    <w:rsid w:val="002C2544"/>
    <w:rsid w:val="002C6EA1"/>
    <w:rsid w:val="002C7628"/>
    <w:rsid w:val="002E624D"/>
    <w:rsid w:val="002E6464"/>
    <w:rsid w:val="002F487D"/>
    <w:rsid w:val="00302C46"/>
    <w:rsid w:val="00306663"/>
    <w:rsid w:val="00307773"/>
    <w:rsid w:val="00311C17"/>
    <w:rsid w:val="00312DB2"/>
    <w:rsid w:val="003201DC"/>
    <w:rsid w:val="003223C9"/>
    <w:rsid w:val="00322593"/>
    <w:rsid w:val="00322A9C"/>
    <w:rsid w:val="003232D9"/>
    <w:rsid w:val="003238B1"/>
    <w:rsid w:val="0032413F"/>
    <w:rsid w:val="0032441F"/>
    <w:rsid w:val="00326993"/>
    <w:rsid w:val="003271BD"/>
    <w:rsid w:val="00327FC9"/>
    <w:rsid w:val="00331C41"/>
    <w:rsid w:val="003342D8"/>
    <w:rsid w:val="00337589"/>
    <w:rsid w:val="00340E79"/>
    <w:rsid w:val="003425CF"/>
    <w:rsid w:val="00346689"/>
    <w:rsid w:val="003511E4"/>
    <w:rsid w:val="00354E69"/>
    <w:rsid w:val="00363441"/>
    <w:rsid w:val="0036549E"/>
    <w:rsid w:val="00365AFA"/>
    <w:rsid w:val="003722EB"/>
    <w:rsid w:val="00372660"/>
    <w:rsid w:val="00372D42"/>
    <w:rsid w:val="00373129"/>
    <w:rsid w:val="00373344"/>
    <w:rsid w:val="00373495"/>
    <w:rsid w:val="003802C9"/>
    <w:rsid w:val="0038329C"/>
    <w:rsid w:val="0039034A"/>
    <w:rsid w:val="0039323E"/>
    <w:rsid w:val="003964CC"/>
    <w:rsid w:val="003969A8"/>
    <w:rsid w:val="003A3464"/>
    <w:rsid w:val="003A52A4"/>
    <w:rsid w:val="003A6A15"/>
    <w:rsid w:val="003B0CB6"/>
    <w:rsid w:val="003B36FB"/>
    <w:rsid w:val="003B3AC5"/>
    <w:rsid w:val="003B4423"/>
    <w:rsid w:val="003B5671"/>
    <w:rsid w:val="003C0C37"/>
    <w:rsid w:val="003C3CD8"/>
    <w:rsid w:val="003C5F15"/>
    <w:rsid w:val="003C6B0F"/>
    <w:rsid w:val="003C7260"/>
    <w:rsid w:val="003D0C3F"/>
    <w:rsid w:val="003D1025"/>
    <w:rsid w:val="003E65A7"/>
    <w:rsid w:val="003F58D8"/>
    <w:rsid w:val="003F7922"/>
    <w:rsid w:val="00401D0D"/>
    <w:rsid w:val="00413F0F"/>
    <w:rsid w:val="00414845"/>
    <w:rsid w:val="004176B9"/>
    <w:rsid w:val="00424405"/>
    <w:rsid w:val="00424921"/>
    <w:rsid w:val="00426E6F"/>
    <w:rsid w:val="004278F7"/>
    <w:rsid w:val="0043366B"/>
    <w:rsid w:val="00433F9A"/>
    <w:rsid w:val="00435031"/>
    <w:rsid w:val="00444A96"/>
    <w:rsid w:val="00445DC3"/>
    <w:rsid w:val="00457915"/>
    <w:rsid w:val="00460B81"/>
    <w:rsid w:val="004627D9"/>
    <w:rsid w:val="00465582"/>
    <w:rsid w:val="00475EF6"/>
    <w:rsid w:val="00477A06"/>
    <w:rsid w:val="004805C6"/>
    <w:rsid w:val="00484957"/>
    <w:rsid w:val="004864FC"/>
    <w:rsid w:val="00490C4B"/>
    <w:rsid w:val="004925EA"/>
    <w:rsid w:val="004936D8"/>
    <w:rsid w:val="00496BA3"/>
    <w:rsid w:val="004A0A77"/>
    <w:rsid w:val="004A1E5A"/>
    <w:rsid w:val="004A3D9F"/>
    <w:rsid w:val="004A484E"/>
    <w:rsid w:val="004A4A34"/>
    <w:rsid w:val="004B35ED"/>
    <w:rsid w:val="004B465D"/>
    <w:rsid w:val="004B6479"/>
    <w:rsid w:val="004B7262"/>
    <w:rsid w:val="004C1026"/>
    <w:rsid w:val="004D25C6"/>
    <w:rsid w:val="004D472A"/>
    <w:rsid w:val="004E3256"/>
    <w:rsid w:val="004E32B9"/>
    <w:rsid w:val="004E62AE"/>
    <w:rsid w:val="004F1840"/>
    <w:rsid w:val="004F4019"/>
    <w:rsid w:val="00500900"/>
    <w:rsid w:val="005017B5"/>
    <w:rsid w:val="005067F9"/>
    <w:rsid w:val="00511A0F"/>
    <w:rsid w:val="005127FC"/>
    <w:rsid w:val="0051539C"/>
    <w:rsid w:val="00517FBF"/>
    <w:rsid w:val="005230B3"/>
    <w:rsid w:val="00531C94"/>
    <w:rsid w:val="00533866"/>
    <w:rsid w:val="00541644"/>
    <w:rsid w:val="00543B6E"/>
    <w:rsid w:val="00554B50"/>
    <w:rsid w:val="005554C0"/>
    <w:rsid w:val="0055584F"/>
    <w:rsid w:val="00565615"/>
    <w:rsid w:val="005739B8"/>
    <w:rsid w:val="00576CBB"/>
    <w:rsid w:val="00583803"/>
    <w:rsid w:val="00594E97"/>
    <w:rsid w:val="005A0BF1"/>
    <w:rsid w:val="005A3F20"/>
    <w:rsid w:val="005B1A5B"/>
    <w:rsid w:val="005B23CF"/>
    <w:rsid w:val="005B3036"/>
    <w:rsid w:val="005B4EC1"/>
    <w:rsid w:val="005B61C5"/>
    <w:rsid w:val="005C1963"/>
    <w:rsid w:val="005C25D1"/>
    <w:rsid w:val="005C49C7"/>
    <w:rsid w:val="005C4D40"/>
    <w:rsid w:val="005D23C8"/>
    <w:rsid w:val="005E3DE3"/>
    <w:rsid w:val="005F383A"/>
    <w:rsid w:val="005F7E4D"/>
    <w:rsid w:val="00601988"/>
    <w:rsid w:val="0060571B"/>
    <w:rsid w:val="006074ED"/>
    <w:rsid w:val="00607B43"/>
    <w:rsid w:val="00612194"/>
    <w:rsid w:val="00612F2B"/>
    <w:rsid w:val="0061448C"/>
    <w:rsid w:val="00614CF4"/>
    <w:rsid w:val="006159F7"/>
    <w:rsid w:val="0062131A"/>
    <w:rsid w:val="00633A16"/>
    <w:rsid w:val="00637BD6"/>
    <w:rsid w:val="006454EE"/>
    <w:rsid w:val="00645778"/>
    <w:rsid w:val="00651B94"/>
    <w:rsid w:val="00652865"/>
    <w:rsid w:val="00653E3A"/>
    <w:rsid w:val="00663CB9"/>
    <w:rsid w:val="00663FDF"/>
    <w:rsid w:val="0066568E"/>
    <w:rsid w:val="0067171A"/>
    <w:rsid w:val="0067565C"/>
    <w:rsid w:val="00680F33"/>
    <w:rsid w:val="00687C67"/>
    <w:rsid w:val="006A107D"/>
    <w:rsid w:val="006B3BAB"/>
    <w:rsid w:val="006B4FF4"/>
    <w:rsid w:val="006B549C"/>
    <w:rsid w:val="006B5C16"/>
    <w:rsid w:val="006B68D8"/>
    <w:rsid w:val="006C090D"/>
    <w:rsid w:val="006C1545"/>
    <w:rsid w:val="006C176B"/>
    <w:rsid w:val="006C1B01"/>
    <w:rsid w:val="006C2148"/>
    <w:rsid w:val="006C57DD"/>
    <w:rsid w:val="006D1C64"/>
    <w:rsid w:val="006D251D"/>
    <w:rsid w:val="006D75E7"/>
    <w:rsid w:val="006E11A4"/>
    <w:rsid w:val="006E5DB6"/>
    <w:rsid w:val="006F23EA"/>
    <w:rsid w:val="0070007C"/>
    <w:rsid w:val="00705041"/>
    <w:rsid w:val="00705A09"/>
    <w:rsid w:val="007066DF"/>
    <w:rsid w:val="00706FD2"/>
    <w:rsid w:val="00707B71"/>
    <w:rsid w:val="00710C6F"/>
    <w:rsid w:val="007136D5"/>
    <w:rsid w:val="00716729"/>
    <w:rsid w:val="0072002A"/>
    <w:rsid w:val="00723BAF"/>
    <w:rsid w:val="00733ABA"/>
    <w:rsid w:val="00743B88"/>
    <w:rsid w:val="0075149F"/>
    <w:rsid w:val="007557ED"/>
    <w:rsid w:val="00760A8F"/>
    <w:rsid w:val="00760B15"/>
    <w:rsid w:val="00761A8B"/>
    <w:rsid w:val="00762F17"/>
    <w:rsid w:val="00765757"/>
    <w:rsid w:val="00775998"/>
    <w:rsid w:val="00775EE1"/>
    <w:rsid w:val="00791B37"/>
    <w:rsid w:val="007975DC"/>
    <w:rsid w:val="007A64B5"/>
    <w:rsid w:val="007B640E"/>
    <w:rsid w:val="007B6C94"/>
    <w:rsid w:val="007C247D"/>
    <w:rsid w:val="007C34F2"/>
    <w:rsid w:val="007C6665"/>
    <w:rsid w:val="007D29CB"/>
    <w:rsid w:val="007D4F83"/>
    <w:rsid w:val="007E007F"/>
    <w:rsid w:val="007E3554"/>
    <w:rsid w:val="007E7B73"/>
    <w:rsid w:val="007F0EAA"/>
    <w:rsid w:val="008008E4"/>
    <w:rsid w:val="00807176"/>
    <w:rsid w:val="00811FE3"/>
    <w:rsid w:val="00812D67"/>
    <w:rsid w:val="008131B6"/>
    <w:rsid w:val="00816759"/>
    <w:rsid w:val="00817007"/>
    <w:rsid w:val="00817DDE"/>
    <w:rsid w:val="008267E0"/>
    <w:rsid w:val="00826C65"/>
    <w:rsid w:val="00831D57"/>
    <w:rsid w:val="008344D8"/>
    <w:rsid w:val="00834B30"/>
    <w:rsid w:val="00854584"/>
    <w:rsid w:val="00857B45"/>
    <w:rsid w:val="00864C4E"/>
    <w:rsid w:val="00865B95"/>
    <w:rsid w:val="00865CFD"/>
    <w:rsid w:val="00871509"/>
    <w:rsid w:val="00883AAF"/>
    <w:rsid w:val="00884C8D"/>
    <w:rsid w:val="00885D80"/>
    <w:rsid w:val="0089290D"/>
    <w:rsid w:val="00896EF6"/>
    <w:rsid w:val="008A3010"/>
    <w:rsid w:val="008B5B1E"/>
    <w:rsid w:val="008B5C93"/>
    <w:rsid w:val="008C32CC"/>
    <w:rsid w:val="008C5C51"/>
    <w:rsid w:val="008D0818"/>
    <w:rsid w:val="008E0D91"/>
    <w:rsid w:val="008E6D0D"/>
    <w:rsid w:val="008F54C8"/>
    <w:rsid w:val="009020EA"/>
    <w:rsid w:val="0090213F"/>
    <w:rsid w:val="009046D5"/>
    <w:rsid w:val="009079BE"/>
    <w:rsid w:val="00910D2A"/>
    <w:rsid w:val="00915649"/>
    <w:rsid w:val="00917E69"/>
    <w:rsid w:val="00922F78"/>
    <w:rsid w:val="009236F4"/>
    <w:rsid w:val="00930463"/>
    <w:rsid w:val="009309F5"/>
    <w:rsid w:val="00934693"/>
    <w:rsid w:val="009402AA"/>
    <w:rsid w:val="009413D0"/>
    <w:rsid w:val="00947737"/>
    <w:rsid w:val="00950985"/>
    <w:rsid w:val="00951D22"/>
    <w:rsid w:val="00953267"/>
    <w:rsid w:val="00954952"/>
    <w:rsid w:val="009554F2"/>
    <w:rsid w:val="00963C75"/>
    <w:rsid w:val="00964582"/>
    <w:rsid w:val="00972EEF"/>
    <w:rsid w:val="0097334D"/>
    <w:rsid w:val="00973A3B"/>
    <w:rsid w:val="009753D0"/>
    <w:rsid w:val="00975617"/>
    <w:rsid w:val="00980DFF"/>
    <w:rsid w:val="009819E5"/>
    <w:rsid w:val="00982246"/>
    <w:rsid w:val="009831D7"/>
    <w:rsid w:val="009862D5"/>
    <w:rsid w:val="00986838"/>
    <w:rsid w:val="009967C6"/>
    <w:rsid w:val="009A7A55"/>
    <w:rsid w:val="009B1314"/>
    <w:rsid w:val="009C4AE8"/>
    <w:rsid w:val="009C6450"/>
    <w:rsid w:val="009D0E51"/>
    <w:rsid w:val="009D134A"/>
    <w:rsid w:val="009D17AA"/>
    <w:rsid w:val="009E191D"/>
    <w:rsid w:val="009E24BD"/>
    <w:rsid w:val="009E7F6F"/>
    <w:rsid w:val="009F0FB0"/>
    <w:rsid w:val="009F55DF"/>
    <w:rsid w:val="009F5A42"/>
    <w:rsid w:val="009F5E29"/>
    <w:rsid w:val="009F6C6F"/>
    <w:rsid w:val="009F778A"/>
    <w:rsid w:val="009F7E57"/>
    <w:rsid w:val="00A032B3"/>
    <w:rsid w:val="00A044B4"/>
    <w:rsid w:val="00A05BD2"/>
    <w:rsid w:val="00A16C4A"/>
    <w:rsid w:val="00A26262"/>
    <w:rsid w:val="00A310BB"/>
    <w:rsid w:val="00A3563D"/>
    <w:rsid w:val="00A37556"/>
    <w:rsid w:val="00A41AD4"/>
    <w:rsid w:val="00A44C8E"/>
    <w:rsid w:val="00A46DE1"/>
    <w:rsid w:val="00A47414"/>
    <w:rsid w:val="00A474DC"/>
    <w:rsid w:val="00A477EF"/>
    <w:rsid w:val="00A6018F"/>
    <w:rsid w:val="00A6073C"/>
    <w:rsid w:val="00A63252"/>
    <w:rsid w:val="00A66317"/>
    <w:rsid w:val="00A667FC"/>
    <w:rsid w:val="00A721FD"/>
    <w:rsid w:val="00A73199"/>
    <w:rsid w:val="00A74916"/>
    <w:rsid w:val="00A8559E"/>
    <w:rsid w:val="00A91344"/>
    <w:rsid w:val="00A916A8"/>
    <w:rsid w:val="00A94580"/>
    <w:rsid w:val="00A96592"/>
    <w:rsid w:val="00AA1D85"/>
    <w:rsid w:val="00AA34DC"/>
    <w:rsid w:val="00AA488A"/>
    <w:rsid w:val="00AB6AA9"/>
    <w:rsid w:val="00AC01EE"/>
    <w:rsid w:val="00AC0C03"/>
    <w:rsid w:val="00AC2485"/>
    <w:rsid w:val="00AC3C63"/>
    <w:rsid w:val="00AC4352"/>
    <w:rsid w:val="00AD2F20"/>
    <w:rsid w:val="00AD3303"/>
    <w:rsid w:val="00AD332C"/>
    <w:rsid w:val="00AD539B"/>
    <w:rsid w:val="00AE31E8"/>
    <w:rsid w:val="00AE3200"/>
    <w:rsid w:val="00AE48B7"/>
    <w:rsid w:val="00AF2568"/>
    <w:rsid w:val="00AF6764"/>
    <w:rsid w:val="00B06901"/>
    <w:rsid w:val="00B101E7"/>
    <w:rsid w:val="00B108D5"/>
    <w:rsid w:val="00B1323C"/>
    <w:rsid w:val="00B177C0"/>
    <w:rsid w:val="00B24B2E"/>
    <w:rsid w:val="00B2538A"/>
    <w:rsid w:val="00B27108"/>
    <w:rsid w:val="00B437B9"/>
    <w:rsid w:val="00B443C0"/>
    <w:rsid w:val="00B47342"/>
    <w:rsid w:val="00B573D0"/>
    <w:rsid w:val="00B57700"/>
    <w:rsid w:val="00B60549"/>
    <w:rsid w:val="00B6280E"/>
    <w:rsid w:val="00B66B03"/>
    <w:rsid w:val="00B716FE"/>
    <w:rsid w:val="00B7404D"/>
    <w:rsid w:val="00B779E8"/>
    <w:rsid w:val="00B77F6E"/>
    <w:rsid w:val="00B8015F"/>
    <w:rsid w:val="00B81A7F"/>
    <w:rsid w:val="00B92F45"/>
    <w:rsid w:val="00B95271"/>
    <w:rsid w:val="00B9721D"/>
    <w:rsid w:val="00BA073E"/>
    <w:rsid w:val="00BA19A9"/>
    <w:rsid w:val="00BA2979"/>
    <w:rsid w:val="00BA56E3"/>
    <w:rsid w:val="00BB643B"/>
    <w:rsid w:val="00BC3139"/>
    <w:rsid w:val="00BC32E9"/>
    <w:rsid w:val="00BC509A"/>
    <w:rsid w:val="00BC71A5"/>
    <w:rsid w:val="00BD7314"/>
    <w:rsid w:val="00BE3D62"/>
    <w:rsid w:val="00BE5736"/>
    <w:rsid w:val="00C054C7"/>
    <w:rsid w:val="00C07D4F"/>
    <w:rsid w:val="00C10F0A"/>
    <w:rsid w:val="00C11A88"/>
    <w:rsid w:val="00C1245E"/>
    <w:rsid w:val="00C14A9B"/>
    <w:rsid w:val="00C27FBA"/>
    <w:rsid w:val="00C306FC"/>
    <w:rsid w:val="00C3073F"/>
    <w:rsid w:val="00C30FC4"/>
    <w:rsid w:val="00C33AF0"/>
    <w:rsid w:val="00C4453C"/>
    <w:rsid w:val="00C44999"/>
    <w:rsid w:val="00C45370"/>
    <w:rsid w:val="00C54CBB"/>
    <w:rsid w:val="00C62454"/>
    <w:rsid w:val="00C631AC"/>
    <w:rsid w:val="00C66A30"/>
    <w:rsid w:val="00C720D2"/>
    <w:rsid w:val="00C759E5"/>
    <w:rsid w:val="00C76354"/>
    <w:rsid w:val="00C8050D"/>
    <w:rsid w:val="00C80CC7"/>
    <w:rsid w:val="00C83BE9"/>
    <w:rsid w:val="00C86A5F"/>
    <w:rsid w:val="00C87CA7"/>
    <w:rsid w:val="00C921EF"/>
    <w:rsid w:val="00C96CC4"/>
    <w:rsid w:val="00CA4659"/>
    <w:rsid w:val="00CB04EC"/>
    <w:rsid w:val="00CB0A35"/>
    <w:rsid w:val="00CB439E"/>
    <w:rsid w:val="00CB6C2C"/>
    <w:rsid w:val="00CC011C"/>
    <w:rsid w:val="00CC68A5"/>
    <w:rsid w:val="00CC795E"/>
    <w:rsid w:val="00CD0A3E"/>
    <w:rsid w:val="00CD666E"/>
    <w:rsid w:val="00CE1A51"/>
    <w:rsid w:val="00CE263D"/>
    <w:rsid w:val="00CE2BC4"/>
    <w:rsid w:val="00CE6FEE"/>
    <w:rsid w:val="00CF28E4"/>
    <w:rsid w:val="00CF7CE6"/>
    <w:rsid w:val="00D061DE"/>
    <w:rsid w:val="00D06B12"/>
    <w:rsid w:val="00D06B9B"/>
    <w:rsid w:val="00D15A78"/>
    <w:rsid w:val="00D17D4A"/>
    <w:rsid w:val="00D233E2"/>
    <w:rsid w:val="00D236E1"/>
    <w:rsid w:val="00D24797"/>
    <w:rsid w:val="00D336D1"/>
    <w:rsid w:val="00D34036"/>
    <w:rsid w:val="00D366D7"/>
    <w:rsid w:val="00D36DB1"/>
    <w:rsid w:val="00D466AB"/>
    <w:rsid w:val="00D502E3"/>
    <w:rsid w:val="00D55F01"/>
    <w:rsid w:val="00D61C51"/>
    <w:rsid w:val="00D7111D"/>
    <w:rsid w:val="00D71BF9"/>
    <w:rsid w:val="00D7382F"/>
    <w:rsid w:val="00D82D03"/>
    <w:rsid w:val="00D857BD"/>
    <w:rsid w:val="00D87CBA"/>
    <w:rsid w:val="00D93CD8"/>
    <w:rsid w:val="00D93EF3"/>
    <w:rsid w:val="00D96360"/>
    <w:rsid w:val="00DA4C34"/>
    <w:rsid w:val="00DA59EE"/>
    <w:rsid w:val="00DB1101"/>
    <w:rsid w:val="00DB22A8"/>
    <w:rsid w:val="00DB6552"/>
    <w:rsid w:val="00DC4492"/>
    <w:rsid w:val="00DC4976"/>
    <w:rsid w:val="00DC4F08"/>
    <w:rsid w:val="00DC6BCD"/>
    <w:rsid w:val="00DD0407"/>
    <w:rsid w:val="00DD0D72"/>
    <w:rsid w:val="00DF22C8"/>
    <w:rsid w:val="00DF2819"/>
    <w:rsid w:val="00DF334D"/>
    <w:rsid w:val="00DF5989"/>
    <w:rsid w:val="00DF6A6D"/>
    <w:rsid w:val="00E0553F"/>
    <w:rsid w:val="00E06189"/>
    <w:rsid w:val="00E07E7E"/>
    <w:rsid w:val="00E16E1E"/>
    <w:rsid w:val="00E17FF8"/>
    <w:rsid w:val="00E25144"/>
    <w:rsid w:val="00E25280"/>
    <w:rsid w:val="00E308AF"/>
    <w:rsid w:val="00E3253A"/>
    <w:rsid w:val="00E3293E"/>
    <w:rsid w:val="00E33F8D"/>
    <w:rsid w:val="00E35219"/>
    <w:rsid w:val="00E36F00"/>
    <w:rsid w:val="00E376DE"/>
    <w:rsid w:val="00E40A20"/>
    <w:rsid w:val="00E42D89"/>
    <w:rsid w:val="00E53108"/>
    <w:rsid w:val="00E55B61"/>
    <w:rsid w:val="00E703A6"/>
    <w:rsid w:val="00E70DDF"/>
    <w:rsid w:val="00E746D6"/>
    <w:rsid w:val="00E758ED"/>
    <w:rsid w:val="00E76F28"/>
    <w:rsid w:val="00E83D3B"/>
    <w:rsid w:val="00E86EC6"/>
    <w:rsid w:val="00E870DE"/>
    <w:rsid w:val="00E91328"/>
    <w:rsid w:val="00E91C59"/>
    <w:rsid w:val="00EA0BCF"/>
    <w:rsid w:val="00EA22CE"/>
    <w:rsid w:val="00EA70D6"/>
    <w:rsid w:val="00EB725D"/>
    <w:rsid w:val="00EC59E7"/>
    <w:rsid w:val="00EC6412"/>
    <w:rsid w:val="00ED20B8"/>
    <w:rsid w:val="00ED5A9F"/>
    <w:rsid w:val="00ED6986"/>
    <w:rsid w:val="00EE12AA"/>
    <w:rsid w:val="00EE2ABA"/>
    <w:rsid w:val="00EE4B61"/>
    <w:rsid w:val="00EE55F0"/>
    <w:rsid w:val="00EE6B2D"/>
    <w:rsid w:val="00EF0D49"/>
    <w:rsid w:val="00EF320A"/>
    <w:rsid w:val="00EF7428"/>
    <w:rsid w:val="00F026F8"/>
    <w:rsid w:val="00F03D12"/>
    <w:rsid w:val="00F05717"/>
    <w:rsid w:val="00F068B2"/>
    <w:rsid w:val="00F15CB2"/>
    <w:rsid w:val="00F22E25"/>
    <w:rsid w:val="00F253DE"/>
    <w:rsid w:val="00F4609B"/>
    <w:rsid w:val="00F4716A"/>
    <w:rsid w:val="00F52A3E"/>
    <w:rsid w:val="00F5582E"/>
    <w:rsid w:val="00F56B8F"/>
    <w:rsid w:val="00F63D0C"/>
    <w:rsid w:val="00F642A2"/>
    <w:rsid w:val="00F65B04"/>
    <w:rsid w:val="00F65D3E"/>
    <w:rsid w:val="00F70893"/>
    <w:rsid w:val="00F70EE7"/>
    <w:rsid w:val="00F72E10"/>
    <w:rsid w:val="00F830B5"/>
    <w:rsid w:val="00F84B8C"/>
    <w:rsid w:val="00F86549"/>
    <w:rsid w:val="00F90738"/>
    <w:rsid w:val="00FA2F9D"/>
    <w:rsid w:val="00FA4533"/>
    <w:rsid w:val="00FA467D"/>
    <w:rsid w:val="00FA4CE7"/>
    <w:rsid w:val="00FB110A"/>
    <w:rsid w:val="00FB1866"/>
    <w:rsid w:val="00FB2249"/>
    <w:rsid w:val="00FB23FF"/>
    <w:rsid w:val="00FB3D62"/>
    <w:rsid w:val="00FC61F8"/>
    <w:rsid w:val="00FC79F3"/>
    <w:rsid w:val="00FD0971"/>
    <w:rsid w:val="00FE1023"/>
    <w:rsid w:val="00FE417E"/>
    <w:rsid w:val="00FE57F0"/>
    <w:rsid w:val="00FF15D2"/>
    <w:rsid w:val="00FF51AB"/>
    <w:rsid w:val="00FF5B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962a32"/>
    </o:shapedefaults>
    <o:shapelayout v:ext="edit">
      <o:idmap v:ext="edit" data="2"/>
    </o:shapelayout>
  </w:shapeDefaults>
  <w:decimalSymbol w:val="."/>
  <w:listSeparator w:val=","/>
  <w14:docId w14:val="13A9D495"/>
  <w15:docId w15:val="{B8E877EF-FA91-426B-BF21-78CCEF4EB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Cit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US"/>
    </w:rPr>
  </w:style>
  <w:style w:type="paragraph" w:styleId="Heading1">
    <w:name w:val="heading 1"/>
    <w:basedOn w:val="Normal"/>
    <w:next w:val="Normal"/>
    <w:link w:val="Heading1Char"/>
    <w:uiPriority w:val="9"/>
    <w:qFormat/>
    <w:pPr>
      <w:keepNext/>
      <w:outlineLvl w:val="0"/>
    </w:pPr>
    <w:rPr>
      <w:b/>
      <w:bCs/>
    </w:rPr>
  </w:style>
  <w:style w:type="paragraph" w:styleId="Heading2">
    <w:name w:val="heading 2"/>
    <w:basedOn w:val="Normal"/>
    <w:next w:val="Normal"/>
    <w:qFormat/>
    <w:pPr>
      <w:keepNext/>
      <w:outlineLvl w:val="1"/>
    </w:pPr>
    <w:rPr>
      <w:rFonts w:ascii="Arial" w:hAnsi="Arial" w:cs="Arial"/>
      <w:b/>
      <w:bCs/>
      <w:sz w:val="20"/>
      <w:szCs w:val="20"/>
    </w:rPr>
  </w:style>
  <w:style w:type="paragraph" w:styleId="Heading3">
    <w:name w:val="heading 3"/>
    <w:basedOn w:val="Normal"/>
    <w:next w:val="Normal"/>
    <w:qFormat/>
    <w:pPr>
      <w:keepNext/>
      <w:outlineLvl w:val="2"/>
    </w:pPr>
    <w:rPr>
      <w:rFonts w:ascii="Arial" w:hAnsi="Arial" w:cs="Arial"/>
      <w:b/>
      <w:bCs/>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l24">
    <w:name w:val="xl24"/>
    <w:basedOn w:val="Normal"/>
    <w:pPr>
      <w:spacing w:before="100" w:beforeAutospacing="1" w:after="100" w:afterAutospacing="1"/>
    </w:pPr>
    <w:rPr>
      <w:rFonts w:ascii="Arial" w:eastAsia="Arial Unicode MS" w:hAnsi="Arial" w:cs="Arial"/>
      <w:b/>
      <w:bCs/>
    </w:rPr>
  </w:style>
  <w:style w:type="paragraph" w:customStyle="1" w:styleId="xl25">
    <w:name w:val="xl25"/>
    <w:basedOn w:val="Normal"/>
    <w:pPr>
      <w:spacing w:before="100" w:beforeAutospacing="1" w:after="100" w:afterAutospacing="1"/>
    </w:pPr>
    <w:rPr>
      <w:rFonts w:ascii="Arial" w:eastAsia="Arial Unicode MS" w:hAnsi="Arial" w:cs="Arial"/>
    </w:rPr>
  </w:style>
  <w:style w:type="paragraph" w:customStyle="1" w:styleId="xl26">
    <w:name w:val="xl26"/>
    <w:basedOn w:val="Normal"/>
    <w:pPr>
      <w:spacing w:before="100" w:beforeAutospacing="1" w:after="100" w:afterAutospacing="1"/>
      <w:jc w:val="center"/>
    </w:pPr>
    <w:rPr>
      <w:rFonts w:ascii="Arial" w:eastAsia="Arial Unicode MS" w:hAnsi="Arial" w:cs="Arial"/>
      <w:b/>
      <w:bCs/>
    </w:rPr>
  </w:style>
  <w:style w:type="paragraph" w:customStyle="1" w:styleId="xl27">
    <w:name w:val="xl27"/>
    <w:basedOn w:val="Normal"/>
    <w:pPr>
      <w:spacing w:before="100" w:beforeAutospacing="1" w:after="100" w:afterAutospacing="1"/>
    </w:pPr>
    <w:rPr>
      <w:rFonts w:ascii="Arial" w:eastAsia="Arial Unicode MS" w:hAnsi="Arial" w:cs="Arial"/>
      <w:b/>
      <w:bCs/>
    </w:rPr>
  </w:style>
  <w:style w:type="paragraph" w:customStyle="1" w:styleId="xl28">
    <w:name w:val="xl28"/>
    <w:basedOn w:val="Normal"/>
    <w:pPr>
      <w:spacing w:before="100" w:beforeAutospacing="1" w:after="100" w:afterAutospacing="1"/>
    </w:pPr>
    <w:rPr>
      <w:rFonts w:ascii="Arial" w:eastAsia="Arial Unicode MS" w:hAnsi="Arial" w:cs="Arial"/>
    </w:rPr>
  </w:style>
  <w:style w:type="paragraph" w:customStyle="1" w:styleId="xl29">
    <w:name w:val="xl29"/>
    <w:basedOn w:val="Normal"/>
    <w:pPr>
      <w:spacing w:before="100" w:beforeAutospacing="1" w:after="100" w:afterAutospacing="1"/>
      <w:jc w:val="center"/>
    </w:pPr>
    <w:rPr>
      <w:rFonts w:ascii="Arial" w:eastAsia="Arial Unicode MS" w:hAnsi="Arial" w:cs="Arial"/>
    </w:rPr>
  </w:style>
  <w:style w:type="paragraph" w:customStyle="1" w:styleId="xl30">
    <w:name w:val="xl30"/>
    <w:basedOn w:val="Normal"/>
    <w:pPr>
      <w:spacing w:before="100" w:beforeAutospacing="1" w:after="100" w:afterAutospacing="1"/>
      <w:jc w:val="center"/>
    </w:pPr>
    <w:rPr>
      <w:rFonts w:ascii="Arial" w:eastAsia="Arial Unicode MS" w:hAnsi="Arial" w:cs="Arial"/>
    </w:rPr>
  </w:style>
  <w:style w:type="paragraph" w:customStyle="1" w:styleId="xl31">
    <w:name w:val="xl31"/>
    <w:basedOn w:val="Normal"/>
    <w:pPr>
      <w:spacing w:before="100" w:beforeAutospacing="1" w:after="100" w:afterAutospacing="1"/>
    </w:pPr>
    <w:rPr>
      <w:rFonts w:ascii="Arial" w:eastAsia="Arial Unicode MS" w:hAnsi="Arial" w:cs="Arial"/>
    </w:rPr>
  </w:style>
  <w:style w:type="paragraph" w:customStyle="1" w:styleId="xl32">
    <w:name w:val="xl32"/>
    <w:basedOn w:val="Normal"/>
    <w:pPr>
      <w:spacing w:before="100" w:beforeAutospacing="1" w:after="100" w:afterAutospacing="1"/>
      <w:jc w:val="center"/>
    </w:pPr>
    <w:rPr>
      <w:rFonts w:ascii="Arial" w:eastAsia="Arial Unicode MS" w:hAnsi="Arial" w:cs="Arial"/>
    </w:rPr>
  </w:style>
  <w:style w:type="paragraph" w:customStyle="1" w:styleId="xl33">
    <w:name w:val="xl33"/>
    <w:basedOn w:val="Normal"/>
    <w:pPr>
      <w:spacing w:before="100" w:beforeAutospacing="1" w:after="100" w:afterAutospacing="1"/>
      <w:jc w:val="center"/>
    </w:pPr>
    <w:rPr>
      <w:rFonts w:ascii="Arial Unicode MS" w:eastAsia="Arial Unicode MS" w:hAnsi="Arial Unicode MS" w:cs="Arial Unicode MS"/>
    </w:rPr>
  </w:style>
  <w:style w:type="character" w:styleId="Hyperlink">
    <w:name w:val="Hyperlink"/>
    <w:rsid w:val="00217664"/>
    <w:rPr>
      <w:color w:val="0000FF"/>
      <w:u w:val="single"/>
    </w:rPr>
  </w:style>
  <w:style w:type="character" w:styleId="CommentReference">
    <w:name w:val="annotation reference"/>
    <w:uiPriority w:val="99"/>
    <w:semiHidden/>
    <w:rsid w:val="00217664"/>
    <w:rPr>
      <w:sz w:val="16"/>
      <w:szCs w:val="16"/>
    </w:rPr>
  </w:style>
  <w:style w:type="paragraph" w:styleId="CommentText">
    <w:name w:val="annotation text"/>
    <w:basedOn w:val="Normal"/>
    <w:link w:val="CommentTextChar"/>
    <w:uiPriority w:val="99"/>
    <w:semiHidden/>
    <w:rsid w:val="00217664"/>
    <w:rPr>
      <w:sz w:val="20"/>
      <w:szCs w:val="20"/>
      <w:lang w:eastAsia="x-none"/>
    </w:rPr>
  </w:style>
  <w:style w:type="paragraph" w:styleId="CommentSubject">
    <w:name w:val="annotation subject"/>
    <w:basedOn w:val="CommentText"/>
    <w:next w:val="CommentText"/>
    <w:semiHidden/>
    <w:rsid w:val="00217664"/>
    <w:rPr>
      <w:b/>
      <w:bCs/>
    </w:rPr>
  </w:style>
  <w:style w:type="paragraph" w:styleId="BalloonText">
    <w:name w:val="Balloon Text"/>
    <w:basedOn w:val="Normal"/>
    <w:semiHidden/>
    <w:rsid w:val="00217664"/>
    <w:rPr>
      <w:rFonts w:ascii="Tahoma" w:hAnsi="Tahoma" w:cs="Tahoma"/>
      <w:sz w:val="16"/>
      <w:szCs w:val="16"/>
    </w:rPr>
  </w:style>
  <w:style w:type="paragraph" w:styleId="FootnoteText">
    <w:name w:val="footnote text"/>
    <w:basedOn w:val="Normal"/>
    <w:link w:val="FootnoteTextChar"/>
    <w:rsid w:val="009F778A"/>
    <w:rPr>
      <w:sz w:val="20"/>
      <w:szCs w:val="20"/>
      <w:lang w:eastAsia="x-none"/>
    </w:rPr>
  </w:style>
  <w:style w:type="character" w:customStyle="1" w:styleId="FootnoteTextChar">
    <w:name w:val="Footnote Text Char"/>
    <w:link w:val="FootnoteText"/>
    <w:rsid w:val="009F778A"/>
    <w:rPr>
      <w:lang w:val="en-CA"/>
    </w:rPr>
  </w:style>
  <w:style w:type="character" w:styleId="FootnoteReference">
    <w:name w:val="footnote reference"/>
    <w:rsid w:val="009F778A"/>
    <w:rPr>
      <w:vertAlign w:val="superscript"/>
    </w:rPr>
  </w:style>
  <w:style w:type="paragraph" w:styleId="Header">
    <w:name w:val="header"/>
    <w:basedOn w:val="Normal"/>
    <w:link w:val="HeaderChar"/>
    <w:rsid w:val="00322593"/>
    <w:pPr>
      <w:tabs>
        <w:tab w:val="center" w:pos="4680"/>
        <w:tab w:val="right" w:pos="9360"/>
      </w:tabs>
    </w:pPr>
    <w:rPr>
      <w:lang w:eastAsia="x-none"/>
    </w:rPr>
  </w:style>
  <w:style w:type="character" w:customStyle="1" w:styleId="HeaderChar">
    <w:name w:val="Header Char"/>
    <w:link w:val="Header"/>
    <w:rsid w:val="00322593"/>
    <w:rPr>
      <w:sz w:val="24"/>
      <w:szCs w:val="24"/>
      <w:lang w:val="en-CA"/>
    </w:rPr>
  </w:style>
  <w:style w:type="paragraph" w:styleId="Footer">
    <w:name w:val="footer"/>
    <w:basedOn w:val="Normal"/>
    <w:link w:val="FooterChar"/>
    <w:uiPriority w:val="99"/>
    <w:rsid w:val="00322593"/>
    <w:pPr>
      <w:tabs>
        <w:tab w:val="center" w:pos="4680"/>
        <w:tab w:val="right" w:pos="9360"/>
      </w:tabs>
    </w:pPr>
    <w:rPr>
      <w:lang w:eastAsia="x-none"/>
    </w:rPr>
  </w:style>
  <w:style w:type="character" w:customStyle="1" w:styleId="FooterChar">
    <w:name w:val="Footer Char"/>
    <w:link w:val="Footer"/>
    <w:uiPriority w:val="99"/>
    <w:rsid w:val="00322593"/>
    <w:rPr>
      <w:sz w:val="24"/>
      <w:szCs w:val="24"/>
      <w:lang w:val="en-CA"/>
    </w:rPr>
  </w:style>
  <w:style w:type="paragraph" w:styleId="EndnoteText">
    <w:name w:val="endnote text"/>
    <w:basedOn w:val="Normal"/>
    <w:link w:val="EndnoteTextChar"/>
    <w:rsid w:val="00930463"/>
    <w:rPr>
      <w:sz w:val="20"/>
      <w:szCs w:val="20"/>
      <w:lang w:eastAsia="x-none"/>
    </w:rPr>
  </w:style>
  <w:style w:type="character" w:customStyle="1" w:styleId="EndnoteTextChar">
    <w:name w:val="Endnote Text Char"/>
    <w:link w:val="EndnoteText"/>
    <w:rsid w:val="00930463"/>
    <w:rPr>
      <w:lang w:val="en-CA"/>
    </w:rPr>
  </w:style>
  <w:style w:type="character" w:styleId="EndnoteReference">
    <w:name w:val="endnote reference"/>
    <w:rsid w:val="00930463"/>
    <w:rPr>
      <w:vertAlign w:val="superscript"/>
    </w:rPr>
  </w:style>
  <w:style w:type="character" w:styleId="HTMLCite">
    <w:name w:val="HTML Cite"/>
    <w:uiPriority w:val="99"/>
    <w:unhideWhenUsed/>
    <w:rsid w:val="005C25D1"/>
    <w:rPr>
      <w:i/>
      <w:iCs/>
    </w:rPr>
  </w:style>
  <w:style w:type="character" w:customStyle="1" w:styleId="cit-auth2">
    <w:name w:val="cit-auth2"/>
    <w:basedOn w:val="DefaultParagraphFont"/>
    <w:rsid w:val="005C25D1"/>
  </w:style>
  <w:style w:type="character" w:customStyle="1" w:styleId="googqs-tidbit">
    <w:name w:val="goog_qs-tidbit"/>
    <w:basedOn w:val="DefaultParagraphFont"/>
    <w:rsid w:val="005C25D1"/>
  </w:style>
  <w:style w:type="character" w:customStyle="1" w:styleId="cit-vol4">
    <w:name w:val="cit-vol4"/>
    <w:basedOn w:val="DefaultParagraphFont"/>
    <w:rsid w:val="005C25D1"/>
  </w:style>
  <w:style w:type="character" w:customStyle="1" w:styleId="cit-fpage">
    <w:name w:val="cit-fpage"/>
    <w:basedOn w:val="DefaultParagraphFont"/>
    <w:rsid w:val="005C25D1"/>
  </w:style>
  <w:style w:type="character" w:customStyle="1" w:styleId="cit-lpage">
    <w:name w:val="cit-lpage"/>
    <w:basedOn w:val="DefaultParagraphFont"/>
    <w:rsid w:val="005C25D1"/>
  </w:style>
  <w:style w:type="character" w:customStyle="1" w:styleId="CommentTextChar">
    <w:name w:val="Comment Text Char"/>
    <w:link w:val="CommentText"/>
    <w:uiPriority w:val="99"/>
    <w:semiHidden/>
    <w:rsid w:val="00500900"/>
    <w:rPr>
      <w:lang w:val="en-CA"/>
    </w:rPr>
  </w:style>
  <w:style w:type="paragraph" w:styleId="Title">
    <w:name w:val="Title"/>
    <w:basedOn w:val="Normal"/>
    <w:link w:val="TitleChar"/>
    <w:qFormat/>
    <w:rsid w:val="00500900"/>
    <w:pPr>
      <w:jc w:val="center"/>
    </w:pPr>
    <w:rPr>
      <w:b/>
      <w:szCs w:val="20"/>
      <w:lang w:val="x-none" w:eastAsia="x-none"/>
    </w:rPr>
  </w:style>
  <w:style w:type="character" w:customStyle="1" w:styleId="TitleChar">
    <w:name w:val="Title Char"/>
    <w:link w:val="Title"/>
    <w:rsid w:val="00500900"/>
    <w:rPr>
      <w:b/>
      <w:sz w:val="24"/>
    </w:rPr>
  </w:style>
  <w:style w:type="paragraph" w:styleId="NormalWeb">
    <w:name w:val="Normal (Web)"/>
    <w:basedOn w:val="Normal"/>
    <w:uiPriority w:val="99"/>
    <w:rsid w:val="00B2538A"/>
    <w:pPr>
      <w:spacing w:before="100" w:beforeAutospacing="1" w:after="100" w:afterAutospacing="1"/>
    </w:pPr>
    <w:rPr>
      <w:color w:val="000000"/>
      <w:lang w:val="en-US"/>
    </w:rPr>
  </w:style>
  <w:style w:type="paragraph" w:customStyle="1" w:styleId="Default">
    <w:name w:val="Default"/>
    <w:rsid w:val="00CB0A35"/>
    <w:pPr>
      <w:autoSpaceDE w:val="0"/>
      <w:autoSpaceDN w:val="0"/>
      <w:adjustRightInd w:val="0"/>
    </w:pPr>
    <w:rPr>
      <w:rFonts w:ascii="Arial" w:eastAsia="Calibri" w:hAnsi="Arial" w:cs="Arial"/>
      <w:color w:val="000000"/>
      <w:sz w:val="24"/>
      <w:szCs w:val="24"/>
      <w:lang w:eastAsia="en-US"/>
    </w:rPr>
  </w:style>
  <w:style w:type="character" w:customStyle="1" w:styleId="Heading1Char">
    <w:name w:val="Heading 1 Char"/>
    <w:basedOn w:val="DefaultParagraphFont"/>
    <w:link w:val="Heading1"/>
    <w:uiPriority w:val="9"/>
    <w:rsid w:val="003425CF"/>
    <w:rPr>
      <w:b/>
      <w:bCs/>
      <w:sz w:val="24"/>
      <w:szCs w:val="24"/>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313">
      <w:bodyDiv w:val="1"/>
      <w:marLeft w:val="0"/>
      <w:marRight w:val="0"/>
      <w:marTop w:val="0"/>
      <w:marBottom w:val="0"/>
      <w:divBdr>
        <w:top w:val="none" w:sz="0" w:space="0" w:color="auto"/>
        <w:left w:val="none" w:sz="0" w:space="0" w:color="auto"/>
        <w:bottom w:val="none" w:sz="0" w:space="0" w:color="auto"/>
        <w:right w:val="none" w:sz="0" w:space="0" w:color="auto"/>
      </w:divBdr>
    </w:div>
    <w:div w:id="85007575">
      <w:bodyDiv w:val="1"/>
      <w:marLeft w:val="0"/>
      <w:marRight w:val="0"/>
      <w:marTop w:val="0"/>
      <w:marBottom w:val="0"/>
      <w:divBdr>
        <w:top w:val="none" w:sz="0" w:space="0" w:color="auto"/>
        <w:left w:val="none" w:sz="0" w:space="0" w:color="auto"/>
        <w:bottom w:val="none" w:sz="0" w:space="0" w:color="auto"/>
        <w:right w:val="none" w:sz="0" w:space="0" w:color="auto"/>
      </w:divBdr>
    </w:div>
    <w:div w:id="161507702">
      <w:bodyDiv w:val="1"/>
      <w:marLeft w:val="0"/>
      <w:marRight w:val="0"/>
      <w:marTop w:val="0"/>
      <w:marBottom w:val="0"/>
      <w:divBdr>
        <w:top w:val="none" w:sz="0" w:space="0" w:color="auto"/>
        <w:left w:val="none" w:sz="0" w:space="0" w:color="auto"/>
        <w:bottom w:val="none" w:sz="0" w:space="0" w:color="auto"/>
        <w:right w:val="none" w:sz="0" w:space="0" w:color="auto"/>
      </w:divBdr>
    </w:div>
    <w:div w:id="171385211">
      <w:bodyDiv w:val="1"/>
      <w:marLeft w:val="0"/>
      <w:marRight w:val="0"/>
      <w:marTop w:val="0"/>
      <w:marBottom w:val="0"/>
      <w:divBdr>
        <w:top w:val="none" w:sz="0" w:space="0" w:color="auto"/>
        <w:left w:val="none" w:sz="0" w:space="0" w:color="auto"/>
        <w:bottom w:val="none" w:sz="0" w:space="0" w:color="auto"/>
        <w:right w:val="none" w:sz="0" w:space="0" w:color="auto"/>
      </w:divBdr>
    </w:div>
    <w:div w:id="203375374">
      <w:bodyDiv w:val="1"/>
      <w:marLeft w:val="0"/>
      <w:marRight w:val="0"/>
      <w:marTop w:val="0"/>
      <w:marBottom w:val="0"/>
      <w:divBdr>
        <w:top w:val="none" w:sz="0" w:space="0" w:color="auto"/>
        <w:left w:val="none" w:sz="0" w:space="0" w:color="auto"/>
        <w:bottom w:val="none" w:sz="0" w:space="0" w:color="auto"/>
        <w:right w:val="none" w:sz="0" w:space="0" w:color="auto"/>
      </w:divBdr>
    </w:div>
    <w:div w:id="251666603">
      <w:bodyDiv w:val="1"/>
      <w:marLeft w:val="0"/>
      <w:marRight w:val="0"/>
      <w:marTop w:val="0"/>
      <w:marBottom w:val="0"/>
      <w:divBdr>
        <w:top w:val="none" w:sz="0" w:space="0" w:color="auto"/>
        <w:left w:val="none" w:sz="0" w:space="0" w:color="auto"/>
        <w:bottom w:val="none" w:sz="0" w:space="0" w:color="auto"/>
        <w:right w:val="none" w:sz="0" w:space="0" w:color="auto"/>
      </w:divBdr>
    </w:div>
    <w:div w:id="311108287">
      <w:bodyDiv w:val="1"/>
      <w:marLeft w:val="0"/>
      <w:marRight w:val="0"/>
      <w:marTop w:val="0"/>
      <w:marBottom w:val="0"/>
      <w:divBdr>
        <w:top w:val="none" w:sz="0" w:space="0" w:color="auto"/>
        <w:left w:val="none" w:sz="0" w:space="0" w:color="auto"/>
        <w:bottom w:val="none" w:sz="0" w:space="0" w:color="auto"/>
        <w:right w:val="none" w:sz="0" w:space="0" w:color="auto"/>
      </w:divBdr>
    </w:div>
    <w:div w:id="320235382">
      <w:bodyDiv w:val="1"/>
      <w:marLeft w:val="0"/>
      <w:marRight w:val="0"/>
      <w:marTop w:val="0"/>
      <w:marBottom w:val="0"/>
      <w:divBdr>
        <w:top w:val="none" w:sz="0" w:space="0" w:color="auto"/>
        <w:left w:val="none" w:sz="0" w:space="0" w:color="auto"/>
        <w:bottom w:val="none" w:sz="0" w:space="0" w:color="auto"/>
        <w:right w:val="none" w:sz="0" w:space="0" w:color="auto"/>
      </w:divBdr>
    </w:div>
    <w:div w:id="670452727">
      <w:bodyDiv w:val="1"/>
      <w:marLeft w:val="0"/>
      <w:marRight w:val="0"/>
      <w:marTop w:val="0"/>
      <w:marBottom w:val="0"/>
      <w:divBdr>
        <w:top w:val="none" w:sz="0" w:space="0" w:color="auto"/>
        <w:left w:val="none" w:sz="0" w:space="0" w:color="auto"/>
        <w:bottom w:val="none" w:sz="0" w:space="0" w:color="auto"/>
        <w:right w:val="none" w:sz="0" w:space="0" w:color="auto"/>
      </w:divBdr>
    </w:div>
    <w:div w:id="791099459">
      <w:bodyDiv w:val="1"/>
      <w:marLeft w:val="0"/>
      <w:marRight w:val="0"/>
      <w:marTop w:val="0"/>
      <w:marBottom w:val="0"/>
      <w:divBdr>
        <w:top w:val="none" w:sz="0" w:space="0" w:color="auto"/>
        <w:left w:val="none" w:sz="0" w:space="0" w:color="auto"/>
        <w:bottom w:val="none" w:sz="0" w:space="0" w:color="auto"/>
        <w:right w:val="none" w:sz="0" w:space="0" w:color="auto"/>
      </w:divBdr>
      <w:divsChild>
        <w:div w:id="1285768525">
          <w:marLeft w:val="0"/>
          <w:marRight w:val="0"/>
          <w:marTop w:val="115"/>
          <w:marBottom w:val="0"/>
          <w:divBdr>
            <w:top w:val="none" w:sz="0" w:space="0" w:color="auto"/>
            <w:left w:val="none" w:sz="0" w:space="0" w:color="auto"/>
            <w:bottom w:val="none" w:sz="0" w:space="0" w:color="auto"/>
            <w:right w:val="none" w:sz="0" w:space="0" w:color="auto"/>
          </w:divBdr>
          <w:divsChild>
            <w:div w:id="1916352521">
              <w:marLeft w:val="0"/>
              <w:marRight w:val="0"/>
              <w:marTop w:val="0"/>
              <w:marBottom w:val="0"/>
              <w:divBdr>
                <w:top w:val="none" w:sz="0" w:space="0" w:color="auto"/>
                <w:left w:val="none" w:sz="0" w:space="0" w:color="auto"/>
                <w:bottom w:val="none" w:sz="0" w:space="0" w:color="auto"/>
                <w:right w:val="none" w:sz="0" w:space="0" w:color="auto"/>
              </w:divBdr>
              <w:divsChild>
                <w:div w:id="830604268">
                  <w:marLeft w:val="0"/>
                  <w:marRight w:val="0"/>
                  <w:marTop w:val="0"/>
                  <w:marBottom w:val="0"/>
                  <w:divBdr>
                    <w:top w:val="none" w:sz="0" w:space="0" w:color="auto"/>
                    <w:left w:val="none" w:sz="0" w:space="0" w:color="auto"/>
                    <w:bottom w:val="none" w:sz="0" w:space="0" w:color="auto"/>
                    <w:right w:val="none" w:sz="0" w:space="0" w:color="auto"/>
                  </w:divBdr>
                  <w:divsChild>
                    <w:div w:id="755904333">
                      <w:marLeft w:val="0"/>
                      <w:marRight w:val="0"/>
                      <w:marTop w:val="168"/>
                      <w:marBottom w:val="0"/>
                      <w:divBdr>
                        <w:top w:val="none" w:sz="0" w:space="0" w:color="auto"/>
                        <w:left w:val="none" w:sz="0" w:space="0" w:color="auto"/>
                        <w:bottom w:val="none" w:sz="0" w:space="0" w:color="auto"/>
                        <w:right w:val="none" w:sz="0" w:space="0" w:color="auto"/>
                      </w:divBdr>
                      <w:divsChild>
                        <w:div w:id="95081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9807551">
      <w:bodyDiv w:val="1"/>
      <w:marLeft w:val="0"/>
      <w:marRight w:val="0"/>
      <w:marTop w:val="0"/>
      <w:marBottom w:val="0"/>
      <w:divBdr>
        <w:top w:val="none" w:sz="0" w:space="0" w:color="auto"/>
        <w:left w:val="none" w:sz="0" w:space="0" w:color="auto"/>
        <w:bottom w:val="none" w:sz="0" w:space="0" w:color="auto"/>
        <w:right w:val="none" w:sz="0" w:space="0" w:color="auto"/>
      </w:divBdr>
    </w:div>
    <w:div w:id="841160228">
      <w:bodyDiv w:val="1"/>
      <w:marLeft w:val="0"/>
      <w:marRight w:val="0"/>
      <w:marTop w:val="0"/>
      <w:marBottom w:val="0"/>
      <w:divBdr>
        <w:top w:val="none" w:sz="0" w:space="0" w:color="auto"/>
        <w:left w:val="none" w:sz="0" w:space="0" w:color="auto"/>
        <w:bottom w:val="none" w:sz="0" w:space="0" w:color="auto"/>
        <w:right w:val="none" w:sz="0" w:space="0" w:color="auto"/>
      </w:divBdr>
    </w:div>
    <w:div w:id="1102260783">
      <w:bodyDiv w:val="1"/>
      <w:marLeft w:val="0"/>
      <w:marRight w:val="0"/>
      <w:marTop w:val="0"/>
      <w:marBottom w:val="0"/>
      <w:divBdr>
        <w:top w:val="none" w:sz="0" w:space="0" w:color="auto"/>
        <w:left w:val="none" w:sz="0" w:space="0" w:color="auto"/>
        <w:bottom w:val="none" w:sz="0" w:space="0" w:color="auto"/>
        <w:right w:val="none" w:sz="0" w:space="0" w:color="auto"/>
      </w:divBdr>
    </w:div>
    <w:div w:id="1189417493">
      <w:bodyDiv w:val="1"/>
      <w:marLeft w:val="0"/>
      <w:marRight w:val="0"/>
      <w:marTop w:val="0"/>
      <w:marBottom w:val="0"/>
      <w:divBdr>
        <w:top w:val="none" w:sz="0" w:space="0" w:color="auto"/>
        <w:left w:val="none" w:sz="0" w:space="0" w:color="auto"/>
        <w:bottom w:val="none" w:sz="0" w:space="0" w:color="auto"/>
        <w:right w:val="none" w:sz="0" w:space="0" w:color="auto"/>
      </w:divBdr>
    </w:div>
    <w:div w:id="1348870210">
      <w:bodyDiv w:val="1"/>
      <w:marLeft w:val="0"/>
      <w:marRight w:val="0"/>
      <w:marTop w:val="0"/>
      <w:marBottom w:val="0"/>
      <w:divBdr>
        <w:top w:val="none" w:sz="0" w:space="0" w:color="auto"/>
        <w:left w:val="none" w:sz="0" w:space="0" w:color="auto"/>
        <w:bottom w:val="none" w:sz="0" w:space="0" w:color="auto"/>
        <w:right w:val="none" w:sz="0" w:space="0" w:color="auto"/>
      </w:divBdr>
    </w:div>
    <w:div w:id="1550262381">
      <w:bodyDiv w:val="1"/>
      <w:marLeft w:val="0"/>
      <w:marRight w:val="0"/>
      <w:marTop w:val="0"/>
      <w:marBottom w:val="0"/>
      <w:divBdr>
        <w:top w:val="none" w:sz="0" w:space="0" w:color="auto"/>
        <w:left w:val="none" w:sz="0" w:space="0" w:color="auto"/>
        <w:bottom w:val="none" w:sz="0" w:space="0" w:color="auto"/>
        <w:right w:val="none" w:sz="0" w:space="0" w:color="auto"/>
      </w:divBdr>
    </w:div>
    <w:div w:id="1579054020">
      <w:bodyDiv w:val="1"/>
      <w:marLeft w:val="0"/>
      <w:marRight w:val="0"/>
      <w:marTop w:val="0"/>
      <w:marBottom w:val="0"/>
      <w:divBdr>
        <w:top w:val="none" w:sz="0" w:space="0" w:color="auto"/>
        <w:left w:val="none" w:sz="0" w:space="0" w:color="auto"/>
        <w:bottom w:val="none" w:sz="0" w:space="0" w:color="auto"/>
        <w:right w:val="none" w:sz="0" w:space="0" w:color="auto"/>
      </w:divBdr>
    </w:div>
    <w:div w:id="1608123508">
      <w:bodyDiv w:val="1"/>
      <w:marLeft w:val="0"/>
      <w:marRight w:val="0"/>
      <w:marTop w:val="0"/>
      <w:marBottom w:val="0"/>
      <w:divBdr>
        <w:top w:val="none" w:sz="0" w:space="0" w:color="auto"/>
        <w:left w:val="none" w:sz="0" w:space="0" w:color="auto"/>
        <w:bottom w:val="none" w:sz="0" w:space="0" w:color="auto"/>
        <w:right w:val="none" w:sz="0" w:space="0" w:color="auto"/>
      </w:divBdr>
    </w:div>
    <w:div w:id="1630471447">
      <w:bodyDiv w:val="1"/>
      <w:marLeft w:val="0"/>
      <w:marRight w:val="0"/>
      <w:marTop w:val="0"/>
      <w:marBottom w:val="0"/>
      <w:divBdr>
        <w:top w:val="none" w:sz="0" w:space="0" w:color="auto"/>
        <w:left w:val="none" w:sz="0" w:space="0" w:color="auto"/>
        <w:bottom w:val="none" w:sz="0" w:space="0" w:color="auto"/>
        <w:right w:val="none" w:sz="0" w:space="0" w:color="auto"/>
      </w:divBdr>
    </w:div>
    <w:div w:id="1748182932">
      <w:bodyDiv w:val="1"/>
      <w:marLeft w:val="0"/>
      <w:marRight w:val="0"/>
      <w:marTop w:val="0"/>
      <w:marBottom w:val="0"/>
      <w:divBdr>
        <w:top w:val="none" w:sz="0" w:space="0" w:color="auto"/>
        <w:left w:val="none" w:sz="0" w:space="0" w:color="auto"/>
        <w:bottom w:val="none" w:sz="0" w:space="0" w:color="auto"/>
        <w:right w:val="none" w:sz="0" w:space="0" w:color="auto"/>
      </w:divBdr>
    </w:div>
    <w:div w:id="1804425319">
      <w:bodyDiv w:val="1"/>
      <w:marLeft w:val="0"/>
      <w:marRight w:val="0"/>
      <w:marTop w:val="0"/>
      <w:marBottom w:val="0"/>
      <w:divBdr>
        <w:top w:val="none" w:sz="0" w:space="0" w:color="auto"/>
        <w:left w:val="none" w:sz="0" w:space="0" w:color="auto"/>
        <w:bottom w:val="none" w:sz="0" w:space="0" w:color="auto"/>
        <w:right w:val="none" w:sz="0" w:space="0" w:color="auto"/>
      </w:divBdr>
    </w:div>
    <w:div w:id="2046052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584833-28C3-4CE4-8862-7C18DFA79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3</Pages>
  <Words>1137</Words>
  <Characters>6487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Cowherd Economics in 2003</vt:lpstr>
    </vt:vector>
  </TitlesOfParts>
  <Company>Western Beef Development Ctr</Company>
  <LinksUpToDate>false</LinksUpToDate>
  <CharactersWithSpaces>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Cowherd Economics in 2003</dc:title>
  <dc:creator>Rahman, Mostafizar</dc:creator>
  <cp:lastModifiedBy>Khorshidi, Razie</cp:lastModifiedBy>
  <cp:revision>76</cp:revision>
  <cp:lastPrinted>2016-03-23T17:46:00Z</cp:lastPrinted>
  <dcterms:created xsi:type="dcterms:W3CDTF">2024-07-24T17:37:00Z</dcterms:created>
  <dcterms:modified xsi:type="dcterms:W3CDTF">2026-03-19T18:01:00Z</dcterms:modified>
</cp:coreProperties>
</file>